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629"/>
      </w:tblGrid>
      <w:tr w:rsidR="00133DB3" w:rsidRPr="00133DB3" w14:paraId="602D27F8" w14:textId="77777777" w:rsidTr="00C54F9C">
        <w:tc>
          <w:tcPr>
            <w:tcW w:w="9629" w:type="dxa"/>
            <w:shd w:val="clear" w:color="auto" w:fill="548DD4" w:themeFill="text2" w:themeFillTint="99"/>
          </w:tcPr>
          <w:p w14:paraId="76E7E96A" w14:textId="77777777" w:rsidR="00C54F9C" w:rsidRPr="000172D4" w:rsidRDefault="00C54F9C" w:rsidP="002C6C3F">
            <w:pPr>
              <w:spacing w:after="120"/>
              <w:ind w:firstLine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0172D4">
              <w:rPr>
                <w:rFonts w:cs="Arial"/>
                <w:b/>
                <w:color w:val="FFFFFF" w:themeColor="background1"/>
                <w:sz w:val="28"/>
                <w:szCs w:val="28"/>
              </w:rPr>
              <w:t>Groupes des contrôleurs d’assurance francophones</w:t>
            </w:r>
          </w:p>
          <w:p w14:paraId="62F15712" w14:textId="2F909817" w:rsidR="002C6C3F" w:rsidRPr="000172D4" w:rsidRDefault="00C54F9C" w:rsidP="002C6C3F">
            <w:pPr>
              <w:spacing w:before="0"/>
              <w:ind w:firstLine="0"/>
              <w:jc w:val="center"/>
              <w:rPr>
                <w:b/>
                <w:color w:val="FFFFFF" w:themeColor="background1"/>
                <w:vertAlign w:val="superscript"/>
              </w:rPr>
            </w:pPr>
            <w:r w:rsidRPr="000172D4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Réunion virtuelle (Webex) </w:t>
            </w:r>
            <w:r w:rsidR="00D15726" w:rsidRPr="000172D4">
              <w:rPr>
                <w:rFonts w:cs="Arial"/>
                <w:b/>
                <w:color w:val="FFFFFF" w:themeColor="background1"/>
                <w:sz w:val="22"/>
                <w:szCs w:val="22"/>
              </w:rPr>
              <w:t>–</w:t>
            </w:r>
            <w:r w:rsidRPr="000172D4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31714F" w:rsidRPr="000172D4">
              <w:rPr>
                <w:rFonts w:cs="Arial"/>
                <w:b/>
                <w:color w:val="FFFFFF" w:themeColor="background1"/>
                <w:sz w:val="22"/>
                <w:szCs w:val="22"/>
              </w:rPr>
              <w:t>17</w:t>
            </w:r>
            <w:r w:rsidR="00B87FFC" w:rsidRPr="000172D4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31714F" w:rsidRPr="000172D4">
              <w:rPr>
                <w:rFonts w:cs="Arial"/>
                <w:b/>
                <w:color w:val="FFFFFF" w:themeColor="background1"/>
                <w:sz w:val="22"/>
                <w:szCs w:val="22"/>
              </w:rPr>
              <w:t>mars</w:t>
            </w:r>
            <w:r w:rsidR="00D15726" w:rsidRPr="000172D4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31714F" w:rsidRPr="000172D4">
              <w:rPr>
                <w:rFonts w:cs="Arial"/>
                <w:b/>
                <w:color w:val="FFFFFF" w:themeColor="background1"/>
                <w:sz w:val="22"/>
                <w:szCs w:val="22"/>
              </w:rPr>
              <w:t>2022</w:t>
            </w:r>
            <w:r w:rsidR="00D15726" w:rsidRPr="000172D4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– </w:t>
            </w:r>
            <w:r w:rsidR="0031714F" w:rsidRPr="000172D4">
              <w:rPr>
                <w:rFonts w:cs="Arial"/>
                <w:b/>
                <w:color w:val="FFFFFF" w:themeColor="background1"/>
                <w:sz w:val="22"/>
                <w:szCs w:val="22"/>
              </w:rPr>
              <w:t>14</w:t>
            </w:r>
            <w:r w:rsidR="008937D2" w:rsidRPr="000172D4">
              <w:rPr>
                <w:rFonts w:cs="Arial"/>
                <w:b/>
                <w:color w:val="FFFFFF" w:themeColor="background1"/>
                <w:sz w:val="22"/>
                <w:szCs w:val="22"/>
              </w:rPr>
              <w:t>h00</w:t>
            </w:r>
            <w:r w:rsidR="00D03F38" w:rsidRPr="000172D4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0172D4">
              <w:rPr>
                <w:rFonts w:cs="Arial"/>
                <w:b/>
                <w:color w:val="FFFFFF" w:themeColor="background1"/>
                <w:sz w:val="22"/>
                <w:szCs w:val="22"/>
              </w:rPr>
              <w:t>TU</w:t>
            </w:r>
            <w:r w:rsidR="00A316B3" w:rsidRPr="000172D4">
              <w:rPr>
                <w:rFonts w:cs="Arial"/>
                <w:b/>
                <w:color w:val="FFFFFF" w:themeColor="background1"/>
                <w:sz w:val="22"/>
                <w:szCs w:val="22"/>
                <w:vertAlign w:val="superscript"/>
              </w:rPr>
              <w:t> </w:t>
            </w:r>
            <w:r w:rsidR="008937D2" w:rsidRPr="000172D4">
              <w:rPr>
                <w:rFonts w:cs="Arial"/>
                <w:b/>
                <w:color w:val="FFFFFF" w:themeColor="background1"/>
                <w:sz w:val="22"/>
                <w:szCs w:val="22"/>
                <w:vertAlign w:val="superscript"/>
              </w:rPr>
              <w:t>*</w:t>
            </w:r>
          </w:p>
          <w:p w14:paraId="397532DD" w14:textId="4BED1FFF" w:rsidR="002C6C3F" w:rsidRPr="00133DB3" w:rsidRDefault="002C6C3F" w:rsidP="002C6C3F">
            <w:pPr>
              <w:spacing w:before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</w:tbl>
    <w:p w14:paraId="2BD7865D" w14:textId="77777777" w:rsidR="00B915A9" w:rsidRPr="00133DB3" w:rsidRDefault="00B915A9" w:rsidP="00C54F9C">
      <w:pPr>
        <w:ind w:firstLine="0"/>
        <w:jc w:val="center"/>
        <w:rPr>
          <w:rFonts w:cs="Arial"/>
          <w:b/>
          <w:color w:val="000000" w:themeColor="text1"/>
          <w:sz w:val="32"/>
          <w:szCs w:val="32"/>
        </w:rPr>
      </w:pPr>
      <w:r w:rsidRPr="00133DB3">
        <w:rPr>
          <w:rFonts w:cs="Arial"/>
          <w:b/>
          <w:color w:val="000000" w:themeColor="text1"/>
          <w:sz w:val="32"/>
          <w:szCs w:val="32"/>
        </w:rPr>
        <w:t>Ordre du jour</w:t>
      </w:r>
    </w:p>
    <w:p w14:paraId="064A6B31" w14:textId="77777777" w:rsidR="00DC7519" w:rsidRPr="00133DB3" w:rsidRDefault="00DC7519" w:rsidP="002658C7">
      <w:pPr>
        <w:spacing w:before="0"/>
        <w:ind w:firstLine="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9800" w:type="dxa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8788"/>
      </w:tblGrid>
      <w:tr w:rsidR="00133DB3" w:rsidRPr="00133DB3" w14:paraId="20AE6D26" w14:textId="77777777" w:rsidTr="00143F34">
        <w:trPr>
          <w:cantSplit/>
          <w:trHeight w:val="851"/>
        </w:trPr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08A1022C" w14:textId="77777777" w:rsidR="002C6C3F" w:rsidRPr="00133DB3" w:rsidRDefault="002C6C3F" w:rsidP="00143F34">
            <w:pPr>
              <w:pStyle w:val="IBFI-Prog-Textecourant"/>
              <w:spacing w:before="120" w:after="120" w:line="276" w:lineRule="auto"/>
              <w:ind w:left="113" w:right="57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33DB3">
              <w:rPr>
                <w:color w:val="000000" w:themeColor="text1"/>
                <w:sz w:val="22"/>
                <w:szCs w:val="22"/>
                <w:lang w:eastAsia="en-US"/>
              </w:rPr>
              <w:t xml:space="preserve">14h00 - </w:t>
            </w:r>
            <w:r w:rsidRPr="00133DB3">
              <w:rPr>
                <w:color w:val="000000" w:themeColor="text1"/>
                <w:sz w:val="22"/>
                <w:szCs w:val="22"/>
                <w:lang w:eastAsia="en-US"/>
              </w:rPr>
              <w:br/>
              <w:t>14h05</w:t>
            </w:r>
          </w:p>
        </w:tc>
        <w:tc>
          <w:tcPr>
            <w:tcW w:w="8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3DCF6C7" w14:textId="6C927A5D" w:rsidR="002C6C3F" w:rsidRPr="00133DB3" w:rsidRDefault="002C6C3F" w:rsidP="000172D4">
            <w:pPr>
              <w:pStyle w:val="IBFI-Prog-Textecourant"/>
              <w:spacing w:before="120" w:after="120"/>
              <w:ind w:right="142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33DB3">
              <w:rPr>
                <w:color w:val="000000" w:themeColor="text1"/>
                <w:sz w:val="22"/>
                <w:szCs w:val="22"/>
                <w:lang w:eastAsia="en-US"/>
              </w:rPr>
              <w:t>Accueil des participants – Vérification des connexions</w:t>
            </w:r>
            <w:r w:rsidR="00433C1D">
              <w:rPr>
                <w:color w:val="000000" w:themeColor="text1"/>
                <w:sz w:val="22"/>
                <w:szCs w:val="22"/>
                <w:lang w:eastAsia="en-US"/>
              </w:rPr>
              <w:t xml:space="preserve"> :  </w:t>
            </w:r>
          </w:p>
          <w:p w14:paraId="6EF3F943" w14:textId="77777777" w:rsidR="002C6C3F" w:rsidRPr="00133DB3" w:rsidRDefault="002C6C3F" w:rsidP="000172D4">
            <w:pPr>
              <w:pStyle w:val="IBFI-Prog-Textecourant"/>
              <w:spacing w:before="120" w:after="120"/>
              <w:ind w:left="284" w:right="142"/>
              <w:rPr>
                <w:b/>
                <w:bCs/>
                <w:i/>
                <w:iCs w:val="0"/>
                <w:color w:val="000000" w:themeColor="text1"/>
                <w:sz w:val="22"/>
                <w:szCs w:val="22"/>
                <w:lang w:eastAsia="en-US"/>
              </w:rPr>
            </w:pPr>
            <w:r w:rsidRPr="00133DB3">
              <w:rPr>
                <w:b/>
                <w:bCs/>
                <w:i/>
                <w:color w:val="000000" w:themeColor="text1"/>
                <w:sz w:val="22"/>
                <w:szCs w:val="22"/>
                <w:lang w:eastAsia="en-US"/>
              </w:rPr>
              <w:t>Secrétariat</w:t>
            </w:r>
          </w:p>
        </w:tc>
      </w:tr>
      <w:tr w:rsidR="00133DB3" w:rsidRPr="00133DB3" w14:paraId="72CB914E" w14:textId="77777777" w:rsidTr="00143F34">
        <w:trPr>
          <w:cantSplit/>
          <w:trHeight w:val="798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5E9E18F4" w14:textId="77777777" w:rsidR="002C6C3F" w:rsidRPr="00133DB3" w:rsidRDefault="002C6C3F" w:rsidP="00143F34">
            <w:pPr>
              <w:pStyle w:val="IBFI-Prog-Textecourant"/>
              <w:spacing w:before="120" w:line="276" w:lineRule="auto"/>
              <w:ind w:left="113" w:right="57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33DB3">
              <w:rPr>
                <w:color w:val="000000" w:themeColor="text1"/>
                <w:sz w:val="22"/>
                <w:szCs w:val="22"/>
                <w:lang w:eastAsia="en-US"/>
              </w:rPr>
              <w:t xml:space="preserve">14h05 - </w:t>
            </w:r>
            <w:r w:rsidRPr="00133DB3">
              <w:rPr>
                <w:color w:val="000000" w:themeColor="text1"/>
                <w:sz w:val="22"/>
                <w:szCs w:val="22"/>
                <w:lang w:eastAsia="en-US"/>
              </w:rPr>
              <w:br/>
              <w:t>14h45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23033C9" w14:textId="77777777" w:rsidR="002C6C3F" w:rsidRPr="00FE2B47" w:rsidRDefault="002C6C3F" w:rsidP="00433C1D">
            <w:pPr>
              <w:pStyle w:val="IBFI-Prog-Textecourant"/>
              <w:spacing w:before="120" w:after="120" w:line="276" w:lineRule="auto"/>
              <w:ind w:left="284" w:right="142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E2B47">
              <w:rPr>
                <w:color w:val="000000" w:themeColor="text1"/>
                <w:sz w:val="22"/>
                <w:szCs w:val="22"/>
                <w:lang w:eastAsia="en-US"/>
              </w:rPr>
              <w:t xml:space="preserve">Tour de table : </w:t>
            </w:r>
          </w:p>
          <w:p w14:paraId="03983ACF" w14:textId="3E7ED352" w:rsidR="008228A2" w:rsidRPr="00ED7E50" w:rsidRDefault="008228A2" w:rsidP="00433C1D">
            <w:pPr>
              <w:pStyle w:val="Paragraphedeliste"/>
              <w:numPr>
                <w:ilvl w:val="0"/>
                <w:numId w:val="36"/>
              </w:numPr>
              <w:spacing w:before="40" w:line="276" w:lineRule="auto"/>
              <w:ind w:left="714" w:hanging="357"/>
              <w:rPr>
                <w:rFonts w:eastAsia="Times New Roman"/>
                <w:color w:val="000000" w:themeColor="text1"/>
                <w:szCs w:val="24"/>
              </w:rPr>
            </w:pPr>
            <w:r w:rsidRPr="00ED7E50">
              <w:rPr>
                <w:rFonts w:ascii="ArialMT" w:hAnsi="ArialMT"/>
                <w:color w:val="000000" w:themeColor="text1"/>
              </w:rPr>
              <w:t>CaA (Commissariat aux assurances) Luxembourg : introduction de l’autorité</w:t>
            </w:r>
            <w:r w:rsidR="000172D4">
              <w:rPr>
                <w:rFonts w:ascii="ArialMT" w:hAnsi="ArialMT"/>
                <w:color w:val="000000" w:themeColor="text1"/>
              </w:rPr>
              <w:t> ;</w:t>
            </w:r>
          </w:p>
          <w:p w14:paraId="0214B972" w14:textId="7DAC60DE" w:rsidR="008228A2" w:rsidRPr="00ED7E50" w:rsidRDefault="008228A2" w:rsidP="00433C1D">
            <w:pPr>
              <w:pStyle w:val="Paragraphedeliste"/>
              <w:numPr>
                <w:ilvl w:val="0"/>
                <w:numId w:val="36"/>
              </w:numPr>
              <w:spacing w:before="40" w:line="276" w:lineRule="auto"/>
              <w:ind w:left="714" w:hanging="357"/>
              <w:rPr>
                <w:color w:val="000000" w:themeColor="text1"/>
              </w:rPr>
            </w:pPr>
            <w:r w:rsidRPr="00ED7E50">
              <w:rPr>
                <w:rFonts w:ascii="ArialMT" w:hAnsi="ArialMT"/>
                <w:color w:val="000000" w:themeColor="text1"/>
              </w:rPr>
              <w:t xml:space="preserve">CSBF (Commission de supervision bancaire et financière) Madagascar : présentation du secteur </w:t>
            </w:r>
            <w:r w:rsidR="000172D4">
              <w:rPr>
                <w:rFonts w:ascii="ArialMT" w:hAnsi="ArialMT"/>
                <w:color w:val="000000" w:themeColor="text1"/>
              </w:rPr>
              <w:t xml:space="preserve">des assurances </w:t>
            </w:r>
            <w:r w:rsidRPr="00ED7E50">
              <w:rPr>
                <w:rFonts w:ascii="ArialMT" w:hAnsi="ArialMT"/>
                <w:color w:val="000000" w:themeColor="text1"/>
              </w:rPr>
              <w:t>et des missions de l</w:t>
            </w:r>
            <w:r w:rsidR="00143F34">
              <w:rPr>
                <w:rFonts w:ascii="ArialMT" w:hAnsi="ArialMT"/>
                <w:color w:val="000000" w:themeColor="text1"/>
              </w:rPr>
              <w:t>’</w:t>
            </w:r>
            <w:r w:rsidRPr="00ED7E50">
              <w:rPr>
                <w:rFonts w:ascii="ArialMT" w:hAnsi="ArialMT"/>
                <w:color w:val="000000" w:themeColor="text1"/>
              </w:rPr>
              <w:t>autorité de contrôle</w:t>
            </w:r>
            <w:r w:rsidR="000172D4">
              <w:rPr>
                <w:rFonts w:ascii="ArialMT" w:hAnsi="ArialMT"/>
                <w:color w:val="000000" w:themeColor="text1"/>
              </w:rPr>
              <w:t> ;</w:t>
            </w:r>
          </w:p>
          <w:p w14:paraId="701AFE43" w14:textId="1F5862E7" w:rsidR="008228A2" w:rsidRPr="00ED7E50" w:rsidRDefault="008228A2" w:rsidP="00433C1D">
            <w:pPr>
              <w:pStyle w:val="Paragraphedeliste"/>
              <w:numPr>
                <w:ilvl w:val="0"/>
                <w:numId w:val="36"/>
              </w:numPr>
              <w:spacing w:before="40" w:line="276" w:lineRule="auto"/>
              <w:ind w:left="714" w:hanging="357"/>
              <w:rPr>
                <w:color w:val="000000" w:themeColor="text1"/>
              </w:rPr>
            </w:pPr>
            <w:r w:rsidRPr="00ED7E50">
              <w:rPr>
                <w:rFonts w:ascii="ArialMT" w:hAnsi="ArialMT"/>
                <w:color w:val="000000" w:themeColor="text1"/>
              </w:rPr>
              <w:t>DNA (Direction nationale des assurances) Togo :</w:t>
            </w:r>
            <w:r w:rsidRPr="00ED7E50">
              <w:rPr>
                <w:rStyle w:val="apple-converted-space"/>
                <w:rFonts w:ascii="ArialMT" w:hAnsi="ArialMT"/>
                <w:color w:val="000000" w:themeColor="text1"/>
              </w:rPr>
              <w:t> </w:t>
            </w:r>
            <w:r w:rsidRPr="00ED7E50">
              <w:rPr>
                <w:rFonts w:ascii="ArialMT" w:hAnsi="ArialMT"/>
                <w:color w:val="000000" w:themeColor="text1"/>
              </w:rPr>
              <w:t>introduction de l’autorité, demande d’adhésion à l’</w:t>
            </w:r>
            <w:r w:rsidR="000172D4">
              <w:rPr>
                <w:rFonts w:ascii="ArialMT" w:hAnsi="ArialMT"/>
                <w:color w:val="000000" w:themeColor="text1"/>
              </w:rPr>
              <w:t>AICA ;</w:t>
            </w:r>
          </w:p>
          <w:p w14:paraId="569944DB" w14:textId="6335A80F" w:rsidR="008228A2" w:rsidRPr="00ED7E50" w:rsidRDefault="008228A2" w:rsidP="00433C1D">
            <w:pPr>
              <w:pStyle w:val="Paragraphedeliste"/>
              <w:numPr>
                <w:ilvl w:val="0"/>
                <w:numId w:val="36"/>
              </w:numPr>
              <w:spacing w:before="40" w:line="276" w:lineRule="auto"/>
              <w:ind w:left="714" w:hanging="357"/>
              <w:rPr>
                <w:color w:val="000000" w:themeColor="text1"/>
              </w:rPr>
            </w:pPr>
            <w:r w:rsidRPr="00ED7E50">
              <w:rPr>
                <w:rFonts w:ascii="ArialMT" w:hAnsi="ArialMT"/>
                <w:color w:val="000000" w:themeColor="text1"/>
              </w:rPr>
              <w:t>CGA (Comité général des assurances) Tunisie</w:t>
            </w:r>
            <w:r w:rsidRPr="00ED7E50">
              <w:rPr>
                <w:rStyle w:val="apple-converted-space"/>
                <w:rFonts w:ascii="ArialMT" w:hAnsi="ArialMT"/>
                <w:color w:val="000000" w:themeColor="text1"/>
              </w:rPr>
              <w:t> </w:t>
            </w:r>
            <w:r w:rsidRPr="00ED7E50">
              <w:rPr>
                <w:rFonts w:ascii="ArialMT" w:hAnsi="ArialMT"/>
                <w:color w:val="000000" w:themeColor="text1"/>
              </w:rPr>
              <w:t>: mise en œuvre des normes IFRS par les assureurs tunisiens</w:t>
            </w:r>
            <w:r w:rsidR="000172D4">
              <w:rPr>
                <w:rFonts w:ascii="ArialMT" w:hAnsi="ArialMT"/>
                <w:color w:val="000000" w:themeColor="text1"/>
              </w:rPr>
              <w:t> ;</w:t>
            </w:r>
          </w:p>
          <w:p w14:paraId="50F36158" w14:textId="1C7D4555" w:rsidR="008228A2" w:rsidRPr="00ED7E50" w:rsidRDefault="008228A2" w:rsidP="00433C1D">
            <w:pPr>
              <w:pStyle w:val="Paragraphedeliste"/>
              <w:numPr>
                <w:ilvl w:val="0"/>
                <w:numId w:val="36"/>
              </w:numPr>
              <w:spacing w:before="40" w:line="276" w:lineRule="auto"/>
              <w:ind w:left="714" w:hanging="357"/>
              <w:rPr>
                <w:color w:val="000000" w:themeColor="text1"/>
              </w:rPr>
            </w:pPr>
            <w:r w:rsidRPr="00ED7E50">
              <w:rPr>
                <w:rFonts w:ascii="ArialMT" w:hAnsi="ArialMT"/>
                <w:color w:val="000000" w:themeColor="text1"/>
              </w:rPr>
              <w:t>ACPR (Autorité de contrôle prudentiel et de résolution) France : La crise ukrainienne, ses répercussions sur l’assurance</w:t>
            </w:r>
            <w:r w:rsidR="000172D4">
              <w:rPr>
                <w:rFonts w:ascii="ArialMT" w:hAnsi="ArialMT"/>
                <w:color w:val="000000" w:themeColor="text1"/>
              </w:rPr>
              <w:t>.</w:t>
            </w:r>
          </w:p>
          <w:p w14:paraId="6F6AE477" w14:textId="23EA5A5E" w:rsidR="002C6C3F" w:rsidRPr="00133DB3" w:rsidRDefault="008228A2" w:rsidP="00433C1D">
            <w:pPr>
              <w:pStyle w:val="IBFI-Prog-Textecourant"/>
              <w:spacing w:before="120" w:after="120" w:line="276" w:lineRule="auto"/>
              <w:ind w:left="284" w:right="142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33DB3">
              <w:rPr>
                <w:b/>
                <w:bCs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2C6C3F" w:rsidRPr="00133DB3">
              <w:rPr>
                <w:b/>
                <w:bCs/>
                <w:i/>
                <w:color w:val="000000" w:themeColor="text1"/>
                <w:sz w:val="22"/>
                <w:szCs w:val="22"/>
                <w:lang w:eastAsia="en-US"/>
              </w:rPr>
              <w:t xml:space="preserve">Autorités </w:t>
            </w:r>
            <w:r w:rsidR="008937D2" w:rsidRPr="00133DB3">
              <w:rPr>
                <w:b/>
                <w:bCs/>
                <w:i/>
                <w:color w:val="000000" w:themeColor="text1"/>
                <w:sz w:val="22"/>
                <w:szCs w:val="22"/>
                <w:lang w:eastAsia="en-US"/>
              </w:rPr>
              <w:t xml:space="preserve">listées, </w:t>
            </w:r>
            <w:r w:rsidR="002C6C3F" w:rsidRPr="00133DB3">
              <w:rPr>
                <w:b/>
                <w:bCs/>
                <w:i/>
                <w:color w:val="000000" w:themeColor="text1"/>
                <w:sz w:val="22"/>
                <w:szCs w:val="22"/>
                <w:lang w:eastAsia="en-US"/>
              </w:rPr>
              <w:t>et Tous</w:t>
            </w:r>
          </w:p>
        </w:tc>
      </w:tr>
      <w:tr w:rsidR="00133DB3" w:rsidRPr="00133DB3" w14:paraId="32692099" w14:textId="77777777" w:rsidTr="00143F34">
        <w:trPr>
          <w:cantSplit/>
          <w:trHeight w:val="798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069242B8" w14:textId="77777777" w:rsidR="002C6C3F" w:rsidRPr="00133DB3" w:rsidRDefault="002C6C3F" w:rsidP="00143F34">
            <w:pPr>
              <w:pStyle w:val="IBFI-Prog-Textecourant"/>
              <w:spacing w:before="120" w:line="276" w:lineRule="auto"/>
              <w:ind w:left="113" w:right="57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33DB3">
              <w:rPr>
                <w:color w:val="000000" w:themeColor="text1"/>
                <w:sz w:val="22"/>
                <w:szCs w:val="22"/>
                <w:lang w:eastAsia="en-US"/>
              </w:rPr>
              <w:t xml:space="preserve">14h45 - </w:t>
            </w:r>
            <w:r w:rsidRPr="00133DB3">
              <w:rPr>
                <w:color w:val="000000" w:themeColor="text1"/>
                <w:sz w:val="22"/>
                <w:szCs w:val="22"/>
                <w:lang w:eastAsia="en-US"/>
              </w:rPr>
              <w:br/>
              <w:t>15h10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34FAB3D" w14:textId="64128197" w:rsidR="002C6C3F" w:rsidRPr="00ED7E50" w:rsidRDefault="008228A2" w:rsidP="00433C1D">
            <w:pPr>
              <w:spacing w:before="60" w:after="60" w:line="276" w:lineRule="auto"/>
              <w:ind w:left="284" w:right="170" w:firstLine="0"/>
              <w:jc w:val="left"/>
              <w:rPr>
                <w:rFonts w:ascii="Times New Roman" w:eastAsia="Times New Roman" w:hAnsi="Times New Roman"/>
                <w:color w:val="000000" w:themeColor="text1"/>
              </w:rPr>
            </w:pPr>
            <w:r w:rsidRPr="00FE2B47">
              <w:rPr>
                <w:rFonts w:ascii="ArialMT" w:hAnsi="ArialMT"/>
                <w:color w:val="000000" w:themeColor="text1"/>
                <w:szCs w:val="22"/>
              </w:rPr>
              <w:t>Présentation des derniers développements de l’AICA</w:t>
            </w:r>
            <w:r w:rsidR="00FE2B47" w:rsidRPr="00FE2B47">
              <w:rPr>
                <w:rFonts w:ascii="ArialMT" w:hAnsi="ArialMT"/>
                <w:color w:val="000000" w:themeColor="text1"/>
                <w:szCs w:val="22"/>
              </w:rPr>
              <w:t xml:space="preserve"> / Présentation</w:t>
            </w:r>
            <w:r w:rsidR="00FE2B47">
              <w:rPr>
                <w:rFonts w:ascii="ArialMT" w:hAnsi="ArialMT"/>
                <w:color w:val="000000" w:themeColor="text1"/>
                <w:szCs w:val="22"/>
                <w:u w:val="single"/>
              </w:rPr>
              <w:t xml:space="preserve"> </w:t>
            </w:r>
            <w:r w:rsidRPr="00ED7E50">
              <w:rPr>
                <w:rFonts w:ascii="ArialMT" w:hAnsi="ArialMT"/>
                <w:color w:val="000000" w:themeColor="text1"/>
              </w:rPr>
              <w:t xml:space="preserve">de l’exercice de Surveillance globale du secteur de l’assurance </w:t>
            </w:r>
            <w:r w:rsidR="00FE2B47" w:rsidRPr="00FE2B47">
              <w:rPr>
                <w:rFonts w:ascii="ArialMT" w:hAnsi="ArialMT" w:hint="eastAsia"/>
                <w:i/>
                <w:color w:val="000000" w:themeColor="text1"/>
              </w:rPr>
              <w:t>—</w:t>
            </w:r>
            <w:r w:rsidRPr="00FE2B47">
              <w:rPr>
                <w:rFonts w:ascii="ArialMT" w:hAnsi="ArialMT"/>
                <w:i/>
                <w:color w:val="000000" w:themeColor="text1"/>
              </w:rPr>
              <w:t>S</w:t>
            </w:r>
            <w:r w:rsidR="000172D4" w:rsidRPr="00FE2B47">
              <w:rPr>
                <w:rFonts w:ascii="ArialMT" w:hAnsi="ArialMT"/>
                <w:i/>
                <w:color w:val="000000" w:themeColor="text1"/>
              </w:rPr>
              <w:t xml:space="preserve">ector </w:t>
            </w:r>
            <w:r w:rsidRPr="00FE2B47">
              <w:rPr>
                <w:rFonts w:ascii="ArialMT" w:hAnsi="ArialMT"/>
                <w:i/>
                <w:color w:val="000000" w:themeColor="text1"/>
              </w:rPr>
              <w:t>W</w:t>
            </w:r>
            <w:r w:rsidR="000172D4" w:rsidRPr="00FE2B47">
              <w:rPr>
                <w:rFonts w:ascii="ArialMT" w:hAnsi="ArialMT"/>
                <w:i/>
                <w:color w:val="000000" w:themeColor="text1"/>
              </w:rPr>
              <w:t xml:space="preserve">ide </w:t>
            </w:r>
            <w:r w:rsidRPr="00FE2B47">
              <w:rPr>
                <w:rFonts w:ascii="ArialMT" w:hAnsi="ArialMT"/>
                <w:i/>
                <w:color w:val="000000" w:themeColor="text1"/>
              </w:rPr>
              <w:t>M</w:t>
            </w:r>
            <w:r w:rsidR="000172D4" w:rsidRPr="00FE2B47">
              <w:rPr>
                <w:rFonts w:ascii="ArialMT" w:hAnsi="ArialMT"/>
                <w:i/>
                <w:color w:val="000000" w:themeColor="text1"/>
              </w:rPr>
              <w:t>onitoring</w:t>
            </w:r>
            <w:r w:rsidR="00FE2B47" w:rsidRPr="00FE2B47">
              <w:rPr>
                <w:rFonts w:ascii="ArialMT" w:hAnsi="ArialMT"/>
                <w:i/>
                <w:color w:val="000000" w:themeColor="text1"/>
              </w:rPr>
              <w:t xml:space="preserve">, </w:t>
            </w:r>
            <w:r w:rsidR="000172D4" w:rsidRPr="00FE2B47">
              <w:rPr>
                <w:rFonts w:ascii="ArialMT" w:hAnsi="ArialMT"/>
                <w:i/>
                <w:color w:val="000000" w:themeColor="text1"/>
              </w:rPr>
              <w:t>SWM</w:t>
            </w:r>
            <w:r w:rsidR="00FE2B47" w:rsidRPr="00FE2B47">
              <w:rPr>
                <w:rFonts w:ascii="ArialMT" w:hAnsi="ArialMT" w:hint="eastAsia"/>
                <w:i/>
                <w:color w:val="000000" w:themeColor="text1"/>
              </w:rPr>
              <w:t>—</w:t>
            </w:r>
            <w:r w:rsidRPr="00ED7E50">
              <w:rPr>
                <w:rFonts w:ascii="ArialMT" w:hAnsi="ArialMT"/>
                <w:color w:val="000000" w:themeColor="text1"/>
              </w:rPr>
              <w:t xml:space="preserve"> de l’AICA</w:t>
            </w:r>
            <w:r w:rsidR="00ED7E50">
              <w:rPr>
                <w:rFonts w:ascii="ArialMT" w:hAnsi="ArialMT"/>
                <w:color w:val="000000" w:themeColor="text1"/>
              </w:rPr>
              <w:t xml:space="preserve"> : </w:t>
            </w:r>
            <w:r w:rsidR="002C6C3F" w:rsidRPr="00ED7E50">
              <w:rPr>
                <w:rFonts w:ascii="Arial-BoldItalicMT" w:hAnsi="Arial-BoldItalicMT"/>
                <w:b/>
                <w:bCs/>
                <w:i/>
                <w:iCs/>
                <w:color w:val="000000" w:themeColor="text1"/>
              </w:rPr>
              <w:t>Romain Passerot (SGA AICA / IAIS)</w:t>
            </w:r>
            <w:r w:rsidR="002C6C3F" w:rsidRPr="00ED7E50">
              <w:rPr>
                <w:color w:val="000000" w:themeColor="text1"/>
              </w:rPr>
              <w:t> </w:t>
            </w:r>
          </w:p>
        </w:tc>
      </w:tr>
      <w:tr w:rsidR="00133DB3" w:rsidRPr="00133DB3" w14:paraId="03245998" w14:textId="77777777" w:rsidTr="00143F34">
        <w:trPr>
          <w:cantSplit/>
          <w:trHeight w:val="798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06145478" w14:textId="77777777" w:rsidR="002C6C3F" w:rsidRPr="00133DB3" w:rsidRDefault="002C6C3F" w:rsidP="00143F34">
            <w:pPr>
              <w:pStyle w:val="IBFI-Prog-Textecourant"/>
              <w:spacing w:before="120" w:line="276" w:lineRule="auto"/>
              <w:ind w:left="113" w:right="57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33DB3">
              <w:rPr>
                <w:color w:val="000000" w:themeColor="text1"/>
                <w:sz w:val="22"/>
                <w:szCs w:val="22"/>
                <w:lang w:eastAsia="en-US"/>
              </w:rPr>
              <w:t xml:space="preserve">15h10 - </w:t>
            </w:r>
            <w:r w:rsidRPr="00133DB3">
              <w:rPr>
                <w:color w:val="000000" w:themeColor="text1"/>
                <w:sz w:val="22"/>
                <w:szCs w:val="22"/>
                <w:lang w:eastAsia="en-US"/>
              </w:rPr>
              <w:br/>
              <w:t>15h30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CDF4CB6" w14:textId="09F224CF" w:rsidR="00133DB3" w:rsidRPr="00FE2B47" w:rsidRDefault="00433C1D" w:rsidP="00433C1D">
            <w:pPr>
              <w:tabs>
                <w:tab w:val="left" w:pos="3374"/>
              </w:tabs>
              <w:spacing w:before="60" w:after="60" w:line="276" w:lineRule="auto"/>
              <w:ind w:left="284" w:right="170" w:firstLine="0"/>
              <w:jc w:val="left"/>
              <w:rPr>
                <w:rFonts w:ascii="ArialMT" w:hAnsi="ArialMT"/>
                <w:color w:val="000000" w:themeColor="text1"/>
                <w:szCs w:val="22"/>
              </w:rPr>
            </w:pPr>
            <w:r>
              <w:rPr>
                <w:rFonts w:ascii="ArialMT" w:hAnsi="ArialMT"/>
                <w:color w:val="000000" w:themeColor="text1"/>
                <w:szCs w:val="22"/>
              </w:rPr>
              <w:t xml:space="preserve">Introduction au </w:t>
            </w:r>
            <w:r w:rsidR="00133DB3" w:rsidRPr="00FE2B47">
              <w:rPr>
                <w:rFonts w:ascii="ArialMT" w:hAnsi="ArialMT"/>
                <w:color w:val="000000" w:themeColor="text1"/>
                <w:szCs w:val="22"/>
              </w:rPr>
              <w:t>SWM (suite)</w:t>
            </w:r>
            <w:r w:rsidR="00ED7E50" w:rsidRPr="00FE2B47">
              <w:rPr>
                <w:rFonts w:ascii="ArialMT" w:hAnsi="ArialMT"/>
                <w:color w:val="000000" w:themeColor="text1"/>
                <w:szCs w:val="22"/>
              </w:rPr>
              <w:t> :</w:t>
            </w:r>
          </w:p>
          <w:p w14:paraId="1FE1094B" w14:textId="507A8653" w:rsidR="00133DB3" w:rsidRPr="00ED7E50" w:rsidRDefault="00133DB3" w:rsidP="00433C1D">
            <w:pPr>
              <w:pStyle w:val="Paragraphedeliste"/>
              <w:numPr>
                <w:ilvl w:val="0"/>
                <w:numId w:val="34"/>
              </w:numPr>
              <w:spacing w:before="40" w:after="40" w:line="276" w:lineRule="auto"/>
              <w:ind w:left="714" w:hanging="357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ED7E50">
              <w:rPr>
                <w:rFonts w:ascii="ArialMT" w:hAnsi="ArialMT"/>
                <w:color w:val="000000" w:themeColor="text1"/>
              </w:rPr>
              <w:t>Présentation de</w:t>
            </w:r>
            <w:r w:rsidRPr="00ED7E50">
              <w:rPr>
                <w:rStyle w:val="apple-converted-space"/>
                <w:rFonts w:ascii="ArialMT" w:hAnsi="ArialMT"/>
                <w:color w:val="000000" w:themeColor="text1"/>
              </w:rPr>
              <w:t> </w:t>
            </w:r>
            <w:r w:rsidRPr="00ED7E50">
              <w:rPr>
                <w:rFonts w:ascii="ArialMT" w:hAnsi="ArialMT"/>
                <w:color w:val="000000" w:themeColor="text1"/>
              </w:rPr>
              <w:t xml:space="preserve">l’exercice de collecte 2022 : </w:t>
            </w:r>
            <w:r w:rsidRPr="00ED7E50">
              <w:rPr>
                <w:rFonts w:ascii="Arial-BoldItalicMT" w:hAnsi="Arial-BoldItalicMT"/>
                <w:b/>
                <w:bCs/>
                <w:i/>
                <w:iCs/>
                <w:color w:val="000000" w:themeColor="text1"/>
              </w:rPr>
              <w:t>François Tempé (ACPR France)</w:t>
            </w:r>
          </w:p>
          <w:p w14:paraId="70F85D68" w14:textId="483764A6" w:rsidR="002C6C3F" w:rsidRPr="00ED7E50" w:rsidRDefault="00133DB3" w:rsidP="00433C1D">
            <w:pPr>
              <w:pStyle w:val="Paragraphedeliste"/>
              <w:numPr>
                <w:ilvl w:val="0"/>
                <w:numId w:val="34"/>
              </w:numPr>
              <w:spacing w:before="40" w:after="40" w:line="276" w:lineRule="auto"/>
              <w:ind w:left="714" w:hanging="357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Cs w:val="24"/>
              </w:rPr>
            </w:pPr>
            <w:r w:rsidRPr="00ED7E50">
              <w:rPr>
                <w:rFonts w:ascii="ArialMT" w:hAnsi="ArialMT"/>
                <w:color w:val="000000" w:themeColor="text1"/>
              </w:rPr>
              <w:t>Présentation de</w:t>
            </w:r>
            <w:r w:rsidRPr="00ED7E50">
              <w:rPr>
                <w:rStyle w:val="apple-converted-space"/>
                <w:rFonts w:ascii="ArialMT" w:hAnsi="ArialMT"/>
                <w:color w:val="000000" w:themeColor="text1"/>
              </w:rPr>
              <w:t> </w:t>
            </w:r>
            <w:r w:rsidRPr="00ED7E50">
              <w:rPr>
                <w:rFonts w:ascii="ArialMT" w:hAnsi="ArialMT"/>
                <w:color w:val="000000" w:themeColor="text1"/>
              </w:rPr>
              <w:t>l’expérience</w:t>
            </w:r>
            <w:r w:rsidRPr="00ED7E50">
              <w:rPr>
                <w:rStyle w:val="apple-converted-space"/>
                <w:rFonts w:ascii="ArialMT" w:hAnsi="ArialMT"/>
                <w:color w:val="000000" w:themeColor="text1"/>
              </w:rPr>
              <w:t> </w:t>
            </w:r>
            <w:r w:rsidRPr="00ED7E50">
              <w:rPr>
                <w:rFonts w:ascii="ArialMT" w:hAnsi="ArialMT"/>
                <w:color w:val="000000" w:themeColor="text1"/>
              </w:rPr>
              <w:t>de l’ACAPS du SWM</w:t>
            </w:r>
            <w:r w:rsidR="00433C1D">
              <w:rPr>
                <w:rFonts w:ascii="ArialMT" w:hAnsi="ArialMT"/>
                <w:color w:val="000000" w:themeColor="text1"/>
              </w:rPr>
              <w:t xml:space="preserve"> 2021</w:t>
            </w:r>
            <w:r w:rsidRPr="00ED7E50">
              <w:rPr>
                <w:rFonts w:ascii="ArialMT" w:hAnsi="ArialMT"/>
                <w:color w:val="000000" w:themeColor="text1"/>
              </w:rPr>
              <w:t xml:space="preserve"> : </w:t>
            </w:r>
            <w:r w:rsidR="00FE2B47">
              <w:rPr>
                <w:rFonts w:ascii="ArialMT" w:hAnsi="ArialMT"/>
                <w:b/>
                <w:bCs/>
                <w:i/>
                <w:iCs/>
                <w:color w:val="000000" w:themeColor="text1"/>
              </w:rPr>
              <w:t>Omar El Jebbari (</w:t>
            </w:r>
            <w:r w:rsidRPr="00ED7E50">
              <w:rPr>
                <w:rFonts w:ascii="ArialMT" w:hAnsi="ArialMT"/>
                <w:b/>
                <w:bCs/>
                <w:i/>
                <w:iCs/>
                <w:color w:val="000000" w:themeColor="text1"/>
              </w:rPr>
              <w:t>ACAPS Maroc)</w:t>
            </w:r>
          </w:p>
        </w:tc>
      </w:tr>
      <w:tr w:rsidR="00133DB3" w:rsidRPr="00133DB3" w14:paraId="4F8D750A" w14:textId="77777777" w:rsidTr="00143F34">
        <w:trPr>
          <w:cantSplit/>
          <w:trHeight w:val="798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248DC49B" w14:textId="77777777" w:rsidR="002C6C3F" w:rsidRPr="00133DB3" w:rsidRDefault="002C6C3F" w:rsidP="00143F34">
            <w:pPr>
              <w:pStyle w:val="IBFI-Prog-Textecourant"/>
              <w:spacing w:before="120" w:line="276" w:lineRule="auto"/>
              <w:ind w:left="113" w:right="57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33DB3">
              <w:rPr>
                <w:color w:val="000000" w:themeColor="text1"/>
                <w:sz w:val="22"/>
                <w:szCs w:val="22"/>
                <w:lang w:eastAsia="en-US"/>
              </w:rPr>
              <w:t xml:space="preserve">15h30 - </w:t>
            </w:r>
            <w:r w:rsidRPr="00133DB3">
              <w:rPr>
                <w:color w:val="000000" w:themeColor="text1"/>
                <w:sz w:val="22"/>
                <w:szCs w:val="22"/>
                <w:lang w:eastAsia="en-US"/>
              </w:rPr>
              <w:br/>
              <w:t>16h00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DBC447A" w14:textId="77777777" w:rsidR="002C6C3F" w:rsidRPr="00FE2B47" w:rsidRDefault="002C6C3F" w:rsidP="00433C1D">
            <w:pPr>
              <w:pStyle w:val="IBFI-Prog-Textecourant"/>
              <w:spacing w:before="120" w:after="120" w:line="276" w:lineRule="auto"/>
              <w:ind w:left="284" w:right="142"/>
              <w:rPr>
                <w:color w:val="000000" w:themeColor="text1"/>
                <w:sz w:val="22"/>
                <w:szCs w:val="22"/>
                <w:lang w:val="fr-CA" w:eastAsia="en-US"/>
              </w:rPr>
            </w:pPr>
            <w:r w:rsidRPr="00FE2B47">
              <w:rPr>
                <w:color w:val="000000" w:themeColor="text1"/>
                <w:sz w:val="22"/>
                <w:szCs w:val="22"/>
                <w:lang w:val="fr-CA" w:eastAsia="en-US"/>
              </w:rPr>
              <w:t>Risques climatiques :</w:t>
            </w:r>
          </w:p>
          <w:p w14:paraId="6A9BE8D0" w14:textId="66268991" w:rsidR="002C6C3F" w:rsidRPr="00133DB3" w:rsidRDefault="00FE2B47" w:rsidP="00433C1D">
            <w:pPr>
              <w:pStyle w:val="IBFI-Prog-Textecourant"/>
              <w:numPr>
                <w:ilvl w:val="0"/>
                <w:numId w:val="37"/>
              </w:numPr>
              <w:spacing w:before="120" w:after="120" w:line="276" w:lineRule="auto"/>
              <w:ind w:right="142"/>
              <w:rPr>
                <w:color w:val="000000" w:themeColor="text1"/>
                <w:sz w:val="22"/>
                <w:szCs w:val="22"/>
                <w:lang w:val="fr-CA"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Les </w:t>
            </w:r>
            <w:r w:rsidR="002C6C3F" w:rsidRPr="00133DB3">
              <w:rPr>
                <w:color w:val="000000" w:themeColor="text1"/>
                <w:sz w:val="22"/>
                <w:szCs w:val="22"/>
                <w:lang w:eastAsia="en-US"/>
              </w:rPr>
              <w:t>travaux de l’autorité européenne de contrôle d’assurance (EIOPA) sur les risques de durabilité</w:t>
            </w:r>
            <w:r w:rsidR="002C6C3F" w:rsidRPr="00133DB3">
              <w:rPr>
                <w:color w:val="000000" w:themeColor="text1"/>
                <w:sz w:val="22"/>
                <w:szCs w:val="22"/>
                <w:lang w:val="fr-CA" w:eastAsia="en-US"/>
              </w:rPr>
              <w:t xml:space="preserve"> ;</w:t>
            </w:r>
            <w:r w:rsidR="00133DB3" w:rsidRPr="00133DB3">
              <w:rPr>
                <w:color w:val="000000" w:themeColor="text1"/>
                <w:sz w:val="22"/>
                <w:szCs w:val="22"/>
                <w:lang w:val="fr-CA" w:eastAsia="en-US"/>
              </w:rPr>
              <w:t xml:space="preserve"> </w:t>
            </w:r>
            <w:r w:rsidR="00143F34">
              <w:rPr>
                <w:b/>
                <w:bCs/>
                <w:i/>
                <w:color w:val="000000" w:themeColor="text1"/>
                <w:sz w:val="22"/>
                <w:szCs w:val="22"/>
                <w:lang w:val="fr-CA" w:eastAsia="en-US"/>
              </w:rPr>
              <w:t>Jérôme Bourtembourg (</w:t>
            </w:r>
            <w:r w:rsidR="00133DB3" w:rsidRPr="00133DB3">
              <w:rPr>
                <w:b/>
                <w:bCs/>
                <w:i/>
                <w:color w:val="000000" w:themeColor="text1"/>
                <w:sz w:val="22"/>
                <w:szCs w:val="22"/>
                <w:lang w:val="fr-CA" w:eastAsia="en-US"/>
              </w:rPr>
              <w:t>BNB Belgique)</w:t>
            </w:r>
            <w:r w:rsidR="00ED7E50">
              <w:rPr>
                <w:b/>
                <w:bCs/>
                <w:i/>
                <w:color w:val="000000" w:themeColor="text1"/>
                <w:sz w:val="22"/>
                <w:szCs w:val="22"/>
                <w:lang w:val="fr-CA" w:eastAsia="en-US"/>
              </w:rPr>
              <w:t xml:space="preserve"> ;</w:t>
            </w:r>
          </w:p>
          <w:p w14:paraId="6F5FF6D6" w14:textId="79F76D20" w:rsidR="002C6C3F" w:rsidRPr="00133DB3" w:rsidRDefault="00FE2B47" w:rsidP="00433C1D">
            <w:pPr>
              <w:pStyle w:val="IBFI-Prog-Textecourant"/>
              <w:numPr>
                <w:ilvl w:val="0"/>
                <w:numId w:val="37"/>
              </w:numPr>
              <w:spacing w:before="120" w:after="120" w:line="276" w:lineRule="auto"/>
              <w:ind w:right="142"/>
              <w:rPr>
                <w:color w:val="000000" w:themeColor="text1"/>
                <w:sz w:val="22"/>
                <w:szCs w:val="22"/>
                <w:lang w:val="fr-CA" w:eastAsia="en-US"/>
              </w:rPr>
            </w:pPr>
            <w:r>
              <w:rPr>
                <w:color w:val="000000" w:themeColor="text1"/>
                <w:sz w:val="22"/>
                <w:szCs w:val="22"/>
                <w:lang w:val="fr-CA" w:eastAsia="en-US"/>
              </w:rPr>
              <w:t xml:space="preserve">Les </w:t>
            </w:r>
            <w:r w:rsidR="002C6C3F" w:rsidRPr="00133DB3">
              <w:rPr>
                <w:color w:val="000000" w:themeColor="text1"/>
                <w:sz w:val="22"/>
                <w:szCs w:val="22"/>
                <w:lang w:val="fr-CA" w:eastAsia="en-US"/>
              </w:rPr>
              <w:t>travaux du « Groupe de pilotage sur le risque climatique » (</w:t>
            </w:r>
            <w:r w:rsidR="002C6C3F" w:rsidRPr="00133DB3">
              <w:rPr>
                <w:i/>
                <w:color w:val="000000" w:themeColor="text1"/>
                <w:sz w:val="22"/>
                <w:szCs w:val="22"/>
                <w:lang w:val="fr-CA" w:eastAsia="en-US"/>
              </w:rPr>
              <w:t>Climate Risk Steering Group</w:t>
            </w:r>
            <w:r w:rsidR="002C6C3F" w:rsidRPr="00133DB3">
              <w:rPr>
                <w:color w:val="000000" w:themeColor="text1"/>
                <w:sz w:val="22"/>
                <w:szCs w:val="22"/>
                <w:lang w:val="fr-CA" w:eastAsia="en-US"/>
              </w:rPr>
              <w:t>) de l’AICA / IAIS</w:t>
            </w:r>
            <w:r w:rsidR="00133DB3" w:rsidRPr="00133DB3">
              <w:rPr>
                <w:color w:val="000000" w:themeColor="text1"/>
                <w:sz w:val="22"/>
                <w:szCs w:val="22"/>
                <w:lang w:val="fr-CA" w:eastAsia="en-US"/>
              </w:rPr>
              <w:t xml:space="preserve"> : </w:t>
            </w:r>
            <w:r w:rsidR="00143F34">
              <w:rPr>
                <w:b/>
                <w:bCs/>
                <w:i/>
                <w:color w:val="000000" w:themeColor="text1"/>
                <w:sz w:val="22"/>
                <w:szCs w:val="22"/>
                <w:lang w:val="fr-CA" w:eastAsia="en-US"/>
              </w:rPr>
              <w:t>Laura Languedoc (</w:t>
            </w:r>
            <w:bookmarkStart w:id="0" w:name="_GoBack"/>
            <w:bookmarkEnd w:id="0"/>
            <w:r w:rsidR="00133DB3" w:rsidRPr="00133DB3">
              <w:rPr>
                <w:b/>
                <w:bCs/>
                <w:i/>
                <w:color w:val="000000" w:themeColor="text1"/>
                <w:sz w:val="22"/>
                <w:szCs w:val="22"/>
                <w:lang w:val="fr-CA" w:eastAsia="en-US"/>
              </w:rPr>
              <w:t>BNB Belgique)</w:t>
            </w:r>
          </w:p>
        </w:tc>
      </w:tr>
      <w:tr w:rsidR="00133DB3" w:rsidRPr="00133DB3" w14:paraId="681CA206" w14:textId="77777777" w:rsidTr="00143F34">
        <w:trPr>
          <w:cantSplit/>
          <w:trHeight w:val="658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00CFDFDF" w14:textId="77777777" w:rsidR="002C6C3F" w:rsidRPr="00133DB3" w:rsidRDefault="002C6C3F" w:rsidP="00143F34">
            <w:pPr>
              <w:pStyle w:val="IBFI-Prog-Textecourant"/>
              <w:spacing w:before="120" w:line="276" w:lineRule="auto"/>
              <w:ind w:left="113" w:right="57"/>
              <w:rPr>
                <w:color w:val="000000" w:themeColor="text1"/>
                <w:sz w:val="22"/>
                <w:szCs w:val="22"/>
                <w:lang w:val="fr-CA" w:eastAsia="en-US"/>
              </w:rPr>
            </w:pPr>
            <w:r w:rsidRPr="00133DB3">
              <w:rPr>
                <w:color w:val="000000" w:themeColor="text1"/>
                <w:sz w:val="22"/>
                <w:szCs w:val="22"/>
                <w:lang w:eastAsia="en-US"/>
              </w:rPr>
              <w:t xml:space="preserve">16h00 - </w:t>
            </w:r>
            <w:r w:rsidRPr="00133DB3">
              <w:rPr>
                <w:color w:val="000000" w:themeColor="text1"/>
                <w:sz w:val="22"/>
                <w:szCs w:val="22"/>
                <w:lang w:eastAsia="en-US"/>
              </w:rPr>
              <w:br/>
              <w:t>16h25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E673302" w14:textId="755B8AD3" w:rsidR="002C6C3F" w:rsidRPr="00133DB3" w:rsidRDefault="002C6C3F" w:rsidP="00433C1D">
            <w:pPr>
              <w:spacing w:after="120" w:line="276" w:lineRule="auto"/>
              <w:ind w:left="284" w:right="142" w:firstLine="0"/>
              <w:rPr>
                <w:rFonts w:cs="Arial"/>
                <w:color w:val="000000" w:themeColor="text1"/>
                <w:lang w:val="fr-CA"/>
              </w:rPr>
            </w:pPr>
            <w:r w:rsidRPr="00FE2B47">
              <w:rPr>
                <w:rFonts w:cs="Arial"/>
                <w:color w:val="000000" w:themeColor="text1"/>
                <w:lang w:val="fr-CA"/>
              </w:rPr>
              <w:t xml:space="preserve">Présentation de Gouvernance et surveillance des produits d’assurance –  </w:t>
            </w:r>
            <w:r w:rsidRPr="00FE2B47">
              <w:rPr>
                <w:rFonts w:cs="Arial"/>
                <w:i/>
                <w:color w:val="000000" w:themeColor="text1"/>
                <w:lang w:val="fr-CA"/>
              </w:rPr>
              <w:t>Product Oversight Governance</w:t>
            </w:r>
            <w:r w:rsidRPr="00FE2B47">
              <w:rPr>
                <w:rFonts w:cs="Arial"/>
                <w:color w:val="000000" w:themeColor="text1"/>
                <w:lang w:val="fr-CA"/>
              </w:rPr>
              <w:t xml:space="preserve"> (POG)</w:t>
            </w:r>
            <w:r w:rsidR="00133DB3" w:rsidRPr="00FE2B47">
              <w:rPr>
                <w:rFonts w:cs="Arial"/>
                <w:color w:val="000000" w:themeColor="text1"/>
                <w:lang w:val="fr-CA"/>
              </w:rPr>
              <w:t xml:space="preserve"> : </w:t>
            </w:r>
            <w:r w:rsidRPr="00133DB3">
              <w:rPr>
                <w:b/>
                <w:bCs/>
                <w:i/>
                <w:color w:val="000000" w:themeColor="text1"/>
                <w:szCs w:val="22"/>
                <w:lang w:val="fr-CA"/>
              </w:rPr>
              <w:t>Charles Le Corroller (ACPR France)</w:t>
            </w:r>
          </w:p>
        </w:tc>
      </w:tr>
      <w:tr w:rsidR="00133DB3" w:rsidRPr="00133DB3" w14:paraId="3F71CA40" w14:textId="77777777" w:rsidTr="00143F34">
        <w:trPr>
          <w:cantSplit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2D80B944" w14:textId="77777777" w:rsidR="002C6C3F" w:rsidRPr="00133DB3" w:rsidRDefault="002C6C3F" w:rsidP="00143F34">
            <w:pPr>
              <w:pStyle w:val="IBFI-Prog-Textecourant"/>
              <w:spacing w:before="120" w:after="120" w:line="276" w:lineRule="auto"/>
              <w:ind w:left="113" w:right="57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33DB3">
              <w:rPr>
                <w:color w:val="000000" w:themeColor="text1"/>
                <w:sz w:val="22"/>
                <w:szCs w:val="22"/>
                <w:lang w:eastAsia="en-US"/>
              </w:rPr>
              <w:t>16h25- 16h30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E502D8F" w14:textId="77777777" w:rsidR="002C6C3F" w:rsidRPr="00133DB3" w:rsidRDefault="002C6C3F" w:rsidP="00433C1D">
            <w:pPr>
              <w:pStyle w:val="IBFI-Prog-Textecourant"/>
              <w:spacing w:before="120" w:after="120" w:line="276" w:lineRule="auto"/>
              <w:ind w:left="284" w:right="142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33DB3">
              <w:rPr>
                <w:color w:val="000000" w:themeColor="text1"/>
                <w:sz w:val="22"/>
                <w:szCs w:val="22"/>
                <w:lang w:eastAsia="en-US"/>
              </w:rPr>
              <w:t>Conclusion, prochains travaux, prochaines réunions</w:t>
            </w:r>
          </w:p>
          <w:p w14:paraId="24F0A835" w14:textId="77777777" w:rsidR="002C6C3F" w:rsidRPr="00133DB3" w:rsidRDefault="002C6C3F" w:rsidP="00433C1D">
            <w:pPr>
              <w:pStyle w:val="IBFI-Prog-Textecourantgras"/>
              <w:spacing w:before="120" w:after="120" w:line="276" w:lineRule="auto"/>
              <w:ind w:left="284" w:right="142"/>
              <w:jc w:val="left"/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133DB3"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t>Tous, secrétariat, président</w:t>
            </w:r>
          </w:p>
        </w:tc>
      </w:tr>
    </w:tbl>
    <w:p w14:paraId="7B630243" w14:textId="2986E66A" w:rsidR="005F0A5D" w:rsidRPr="00133DB3" w:rsidRDefault="005F0A5D" w:rsidP="00C72F2C">
      <w:pPr>
        <w:spacing w:before="0"/>
        <w:ind w:firstLine="0"/>
        <w:jc w:val="left"/>
        <w:rPr>
          <w:rFonts w:asciiTheme="minorHAnsi" w:hAnsiTheme="minorHAnsi" w:cstheme="minorHAnsi"/>
          <w:color w:val="000000" w:themeColor="text1"/>
          <w:szCs w:val="22"/>
        </w:rPr>
      </w:pPr>
    </w:p>
    <w:p w14:paraId="74CD6BB3" w14:textId="50196BE5" w:rsidR="00FE7964" w:rsidRPr="000172D4" w:rsidRDefault="008937D2" w:rsidP="00FE7964">
      <w:pPr>
        <w:spacing w:before="0"/>
        <w:ind w:firstLine="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0172D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* TU = Temps Universel (= GMT).  14h00 TU = </w:t>
      </w:r>
      <w:r w:rsidR="00530682" w:rsidRPr="000172D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10</w:t>
      </w:r>
      <w:r w:rsidR="00FE7964" w:rsidRPr="000172D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h00 heure Québec (TU-</w:t>
      </w:r>
      <w:r w:rsidR="00530682" w:rsidRPr="000172D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4</w:t>
      </w:r>
      <w:r w:rsidR="00FE7964" w:rsidRPr="000172D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), </w:t>
      </w:r>
      <w:r w:rsidRPr="000172D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14h00 heure Dakar</w:t>
      </w:r>
      <w:r w:rsidR="00FE7964" w:rsidRPr="000172D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(TU)</w:t>
      </w:r>
      <w:r w:rsidRPr="000172D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, </w:t>
      </w:r>
    </w:p>
    <w:p w14:paraId="37422B41" w14:textId="5D2F25E3" w:rsidR="008937D2" w:rsidRPr="000172D4" w:rsidRDefault="008937D2" w:rsidP="00FE7964">
      <w:pPr>
        <w:spacing w:before="0"/>
        <w:ind w:firstLine="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0172D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15h00 heure Bruxelles</w:t>
      </w:r>
      <w:r w:rsidR="006420F4" w:rsidRPr="000172D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(TU+1)</w:t>
      </w:r>
      <w:r w:rsidRPr="000172D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, 17h00 heure </w:t>
      </w:r>
      <w:r w:rsidR="000E2CD9" w:rsidRPr="000172D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Antananarivo</w:t>
      </w:r>
      <w:r w:rsidR="006420F4" w:rsidRPr="000172D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(TU+3)</w:t>
      </w:r>
      <w:r w:rsidRPr="000172D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, etc.</w:t>
      </w:r>
    </w:p>
    <w:sectPr w:rsidR="008937D2" w:rsidRPr="000172D4" w:rsidSect="002C6C3F">
      <w:headerReference w:type="even" r:id="rId12"/>
      <w:headerReference w:type="default" r:id="rId13"/>
      <w:headerReference w:type="first" r:id="rId14"/>
      <w:pgSz w:w="11907" w:h="16839" w:code="9"/>
      <w:pgMar w:top="1865" w:right="1134" w:bottom="567" w:left="1134" w:header="510" w:footer="2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813FB" w14:textId="77777777" w:rsidR="00CE4851" w:rsidRDefault="00CE4851" w:rsidP="00022171">
      <w:r>
        <w:separator/>
      </w:r>
    </w:p>
  </w:endnote>
  <w:endnote w:type="continuationSeparator" w:id="0">
    <w:p w14:paraId="0E3C18D4" w14:textId="77777777" w:rsidR="00CE4851" w:rsidRDefault="00CE4851" w:rsidP="0002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ItalicM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3494F" w14:textId="77777777" w:rsidR="00CE4851" w:rsidRDefault="00CE4851" w:rsidP="00022171">
      <w:r>
        <w:separator/>
      </w:r>
    </w:p>
  </w:footnote>
  <w:footnote w:type="continuationSeparator" w:id="0">
    <w:p w14:paraId="58886BBD" w14:textId="77777777" w:rsidR="00CE4851" w:rsidRDefault="00CE4851" w:rsidP="00022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C96EE" w14:textId="77777777" w:rsidR="00B915A9" w:rsidRDefault="00CE4851">
    <w:pPr>
      <w:pStyle w:val="En-tte"/>
    </w:pPr>
    <w:r>
      <w:rPr>
        <w:noProof/>
      </w:rPr>
      <w:pict w14:anchorId="79D87E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164266" o:spid="_x0000_s2050" type="#_x0000_t136" alt="" style="position:absolute;left:0;text-align:left;margin-left:0;margin-top:0;width:528.5pt;height:151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39767" w14:textId="77777777" w:rsidR="00B915A9" w:rsidRDefault="00CE4851">
    <w:pPr>
      <w:pStyle w:val="En-tte"/>
    </w:pPr>
    <w:r>
      <w:rPr>
        <w:noProof/>
      </w:rPr>
      <w:pict w14:anchorId="0180BC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164267" o:spid="_x0000_s2049" type="#_x0000_t136" alt="" style="position:absolute;left:0;text-align:left;margin-left:0;margin-top:0;width:528.5pt;height:151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EC80B" w14:textId="07A159A2" w:rsidR="00AF3E39" w:rsidRDefault="002C6C3F" w:rsidP="00B61D26">
    <w:pPr>
      <w:pStyle w:val="En-tte"/>
      <w:tabs>
        <w:tab w:val="clear" w:pos="4536"/>
        <w:tab w:val="clear" w:pos="9072"/>
        <w:tab w:val="center" w:pos="5103"/>
        <w:tab w:val="left" w:pos="7297"/>
        <w:tab w:val="left" w:pos="8796"/>
      </w:tabs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711C6D11" wp14:editId="758A5275">
          <wp:simplePos x="0" y="0"/>
          <wp:positionH relativeFrom="column">
            <wp:posOffset>4601210</wp:posOffset>
          </wp:positionH>
          <wp:positionV relativeFrom="paragraph">
            <wp:posOffset>-133350</wp:posOffset>
          </wp:positionV>
          <wp:extent cx="1501140" cy="745099"/>
          <wp:effectExtent l="0" t="0" r="0" b="444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631" cy="748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inline distT="0" distB="0" distL="0" distR="0" wp14:anchorId="1623B428" wp14:editId="4126CE86">
          <wp:extent cx="2316480" cy="4826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AIS_Logo_5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2" cy="486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70B4">
      <w:tab/>
    </w:r>
    <w:r w:rsidR="00B61D26">
      <w:tab/>
    </w:r>
    <w:r w:rsidR="00B61D2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53C"/>
    <w:multiLevelType w:val="hybridMultilevel"/>
    <w:tmpl w:val="DD6ADE5E"/>
    <w:lvl w:ilvl="0" w:tplc="DEE229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B7A9D"/>
    <w:multiLevelType w:val="hybridMultilevel"/>
    <w:tmpl w:val="FD3A4372"/>
    <w:lvl w:ilvl="0" w:tplc="4E80D42C">
      <w:numFmt w:val="bullet"/>
      <w:lvlText w:val=""/>
      <w:lvlJc w:val="left"/>
      <w:pPr>
        <w:ind w:left="720" w:hanging="360"/>
      </w:pPr>
      <w:rPr>
        <w:rFonts w:ascii="Wingdings" w:eastAsia="Cambria" w:hAnsi="Wingdings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93844"/>
    <w:multiLevelType w:val="multilevel"/>
    <w:tmpl w:val="9DA69A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5FA0569"/>
    <w:multiLevelType w:val="hybridMultilevel"/>
    <w:tmpl w:val="96EEA3A2"/>
    <w:lvl w:ilvl="0" w:tplc="3BB27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6F221A7"/>
    <w:multiLevelType w:val="hybridMultilevel"/>
    <w:tmpl w:val="83F862FA"/>
    <w:lvl w:ilvl="0" w:tplc="53C046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E7EB6"/>
    <w:multiLevelType w:val="hybridMultilevel"/>
    <w:tmpl w:val="C0C28820"/>
    <w:lvl w:ilvl="0" w:tplc="53C046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3655A"/>
    <w:multiLevelType w:val="hybridMultilevel"/>
    <w:tmpl w:val="D96C8D44"/>
    <w:lvl w:ilvl="0" w:tplc="53C046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66C88"/>
    <w:multiLevelType w:val="hybridMultilevel"/>
    <w:tmpl w:val="DFFA3EC4"/>
    <w:lvl w:ilvl="0" w:tplc="53C046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43BE0"/>
    <w:multiLevelType w:val="hybridMultilevel"/>
    <w:tmpl w:val="20F4BCA2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9" w15:restartNumberingAfterBreak="0">
    <w:nsid w:val="12864417"/>
    <w:multiLevelType w:val="hybridMultilevel"/>
    <w:tmpl w:val="DF1278AE"/>
    <w:lvl w:ilvl="0" w:tplc="4E80D42C">
      <w:numFmt w:val="bullet"/>
      <w:lvlText w:val=""/>
      <w:lvlJc w:val="left"/>
      <w:pPr>
        <w:ind w:left="720" w:hanging="360"/>
      </w:pPr>
      <w:rPr>
        <w:rFonts w:ascii="Wingdings" w:eastAsia="Cambria" w:hAnsi="Wingdings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C6D9B"/>
    <w:multiLevelType w:val="hybridMultilevel"/>
    <w:tmpl w:val="6F14F19C"/>
    <w:lvl w:ilvl="0" w:tplc="3CDC4ACE">
      <w:start w:val="1"/>
      <w:numFmt w:val="decimal"/>
      <w:lvlText w:val="%1-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861210"/>
    <w:multiLevelType w:val="multilevel"/>
    <w:tmpl w:val="5C84B2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09E0B2F"/>
    <w:multiLevelType w:val="multilevel"/>
    <w:tmpl w:val="9F760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D276F86"/>
    <w:multiLevelType w:val="hybridMultilevel"/>
    <w:tmpl w:val="6E80A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62130"/>
    <w:multiLevelType w:val="multilevel"/>
    <w:tmpl w:val="36860108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-984" w:hanging="576"/>
      </w:pPr>
      <w:rPr>
        <w:rFonts w:ascii="Arial" w:eastAsia="Times New Roman" w:hAnsi="Arial" w:cs="Arial" w:hint="default"/>
      </w:rPr>
    </w:lvl>
    <w:lvl w:ilvl="2">
      <w:start w:val="1"/>
      <w:numFmt w:val="decimal"/>
      <w:pStyle w:val="Titre3"/>
      <w:lvlText w:val="%1.%2.%3"/>
      <w:lvlJc w:val="left"/>
      <w:pPr>
        <w:ind w:left="-84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-696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-552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-408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-264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-12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24" w:hanging="1584"/>
      </w:pPr>
      <w:rPr>
        <w:rFonts w:hint="default"/>
      </w:rPr>
    </w:lvl>
  </w:abstractNum>
  <w:abstractNum w:abstractNumId="15" w15:restartNumberingAfterBreak="0">
    <w:nsid w:val="334A504D"/>
    <w:multiLevelType w:val="hybridMultilevel"/>
    <w:tmpl w:val="9B965D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A5249"/>
    <w:multiLevelType w:val="hybridMultilevel"/>
    <w:tmpl w:val="85A0CD10"/>
    <w:lvl w:ilvl="0" w:tplc="88301E3E">
      <w:start w:val="1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959429C"/>
    <w:multiLevelType w:val="hybridMultilevel"/>
    <w:tmpl w:val="5DE0E266"/>
    <w:lvl w:ilvl="0" w:tplc="119E43CC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52D9B"/>
    <w:multiLevelType w:val="hybridMultilevel"/>
    <w:tmpl w:val="135AC7B4"/>
    <w:lvl w:ilvl="0" w:tplc="53C046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41F74"/>
    <w:multiLevelType w:val="hybridMultilevel"/>
    <w:tmpl w:val="E00CD2A0"/>
    <w:lvl w:ilvl="0" w:tplc="CB646CC2">
      <w:numFmt w:val="bullet"/>
      <w:lvlText w:val=""/>
      <w:lvlJc w:val="left"/>
      <w:pPr>
        <w:ind w:left="1004" w:hanging="360"/>
      </w:pPr>
      <w:rPr>
        <w:rFonts w:ascii="Symbol" w:eastAsia="Cambria" w:hAnsi="Symbol" w:cstheme="minorHAnsi" w:hint="default"/>
        <w:b/>
        <w:sz w:val="24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2631D84"/>
    <w:multiLevelType w:val="hybridMultilevel"/>
    <w:tmpl w:val="ECCC1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90604"/>
    <w:multiLevelType w:val="hybridMultilevel"/>
    <w:tmpl w:val="B57E1F62"/>
    <w:lvl w:ilvl="0" w:tplc="3BB27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C5C4A"/>
    <w:multiLevelType w:val="hybridMultilevel"/>
    <w:tmpl w:val="5B7CF690"/>
    <w:lvl w:ilvl="0" w:tplc="040C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4CE65374"/>
    <w:multiLevelType w:val="multilevel"/>
    <w:tmpl w:val="97A4D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D4F1E95"/>
    <w:multiLevelType w:val="multilevel"/>
    <w:tmpl w:val="D6B8D4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DE03CFD"/>
    <w:multiLevelType w:val="hybridMultilevel"/>
    <w:tmpl w:val="E670E288"/>
    <w:lvl w:ilvl="0" w:tplc="53C046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502B5"/>
    <w:multiLevelType w:val="hybridMultilevel"/>
    <w:tmpl w:val="42F04750"/>
    <w:lvl w:ilvl="0" w:tplc="0C4E90EC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323B5"/>
    <w:multiLevelType w:val="hybridMultilevel"/>
    <w:tmpl w:val="2500CBF0"/>
    <w:lvl w:ilvl="0" w:tplc="3BB27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52DA6"/>
    <w:multiLevelType w:val="hybridMultilevel"/>
    <w:tmpl w:val="4B845936"/>
    <w:lvl w:ilvl="0" w:tplc="A8BCDE2E">
      <w:numFmt w:val="bullet"/>
      <w:lvlText w:val="–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3AF7CEB"/>
    <w:multiLevelType w:val="hybridMultilevel"/>
    <w:tmpl w:val="5FE2D48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D6FE7"/>
    <w:multiLevelType w:val="hybridMultilevel"/>
    <w:tmpl w:val="6E94B622"/>
    <w:lvl w:ilvl="0" w:tplc="1ACC78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85F5D"/>
    <w:multiLevelType w:val="hybridMultilevel"/>
    <w:tmpl w:val="5FF6FF88"/>
    <w:lvl w:ilvl="0" w:tplc="53C046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D767E"/>
    <w:multiLevelType w:val="hybridMultilevel"/>
    <w:tmpl w:val="0358AE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A7B1D"/>
    <w:multiLevelType w:val="hybridMultilevel"/>
    <w:tmpl w:val="B2447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018DA"/>
    <w:multiLevelType w:val="hybridMultilevel"/>
    <w:tmpl w:val="2DDCBE26"/>
    <w:lvl w:ilvl="0" w:tplc="4BFA4B0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1B5C6A"/>
    <w:multiLevelType w:val="hybridMultilevel"/>
    <w:tmpl w:val="53F43408"/>
    <w:lvl w:ilvl="0" w:tplc="3BB27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070E9"/>
    <w:multiLevelType w:val="hybridMultilevel"/>
    <w:tmpl w:val="B3ECF00A"/>
    <w:lvl w:ilvl="0" w:tplc="CB646CC2"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  <w:b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17"/>
  </w:num>
  <w:num w:numId="5">
    <w:abstractNumId w:val="22"/>
  </w:num>
  <w:num w:numId="6">
    <w:abstractNumId w:val="8"/>
  </w:num>
  <w:num w:numId="7">
    <w:abstractNumId w:val="11"/>
  </w:num>
  <w:num w:numId="8">
    <w:abstractNumId w:val="23"/>
  </w:num>
  <w:num w:numId="9">
    <w:abstractNumId w:val="24"/>
  </w:num>
  <w:num w:numId="10">
    <w:abstractNumId w:val="2"/>
  </w:num>
  <w:num w:numId="11">
    <w:abstractNumId w:val="4"/>
  </w:num>
  <w:num w:numId="12">
    <w:abstractNumId w:val="31"/>
  </w:num>
  <w:num w:numId="13">
    <w:abstractNumId w:val="7"/>
  </w:num>
  <w:num w:numId="14">
    <w:abstractNumId w:val="13"/>
  </w:num>
  <w:num w:numId="15">
    <w:abstractNumId w:val="15"/>
  </w:num>
  <w:num w:numId="16">
    <w:abstractNumId w:val="20"/>
  </w:num>
  <w:num w:numId="17">
    <w:abstractNumId w:val="33"/>
  </w:num>
  <w:num w:numId="18">
    <w:abstractNumId w:val="6"/>
  </w:num>
  <w:num w:numId="19">
    <w:abstractNumId w:val="5"/>
  </w:num>
  <w:num w:numId="20">
    <w:abstractNumId w:val="25"/>
  </w:num>
  <w:num w:numId="21">
    <w:abstractNumId w:val="12"/>
  </w:num>
  <w:num w:numId="22">
    <w:abstractNumId w:val="0"/>
  </w:num>
  <w:num w:numId="23">
    <w:abstractNumId w:val="34"/>
  </w:num>
  <w:num w:numId="24">
    <w:abstractNumId w:val="29"/>
  </w:num>
  <w:num w:numId="25">
    <w:abstractNumId w:val="36"/>
  </w:num>
  <w:num w:numId="26">
    <w:abstractNumId w:val="30"/>
  </w:num>
  <w:num w:numId="27">
    <w:abstractNumId w:val="19"/>
  </w:num>
  <w:num w:numId="28">
    <w:abstractNumId w:val="32"/>
  </w:num>
  <w:num w:numId="29">
    <w:abstractNumId w:val="1"/>
  </w:num>
  <w:num w:numId="30">
    <w:abstractNumId w:val="9"/>
  </w:num>
  <w:num w:numId="31">
    <w:abstractNumId w:val="26"/>
  </w:num>
  <w:num w:numId="32">
    <w:abstractNumId w:val="16"/>
  </w:num>
  <w:num w:numId="33">
    <w:abstractNumId w:val="28"/>
  </w:num>
  <w:num w:numId="34">
    <w:abstractNumId w:val="21"/>
  </w:num>
  <w:num w:numId="35">
    <w:abstractNumId w:val="35"/>
  </w:num>
  <w:num w:numId="36">
    <w:abstractNumId w:val="27"/>
  </w:num>
  <w:num w:numId="3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71"/>
    <w:rsid w:val="000006B9"/>
    <w:rsid w:val="00000FDF"/>
    <w:rsid w:val="0000217C"/>
    <w:rsid w:val="0000492A"/>
    <w:rsid w:val="0000655C"/>
    <w:rsid w:val="000067FA"/>
    <w:rsid w:val="00006DBB"/>
    <w:rsid w:val="00010B7D"/>
    <w:rsid w:val="00010F22"/>
    <w:rsid w:val="00015A5D"/>
    <w:rsid w:val="00016748"/>
    <w:rsid w:val="000172D4"/>
    <w:rsid w:val="00017D4D"/>
    <w:rsid w:val="00022171"/>
    <w:rsid w:val="0002786B"/>
    <w:rsid w:val="00031411"/>
    <w:rsid w:val="000371EB"/>
    <w:rsid w:val="00037E05"/>
    <w:rsid w:val="000404CE"/>
    <w:rsid w:val="00041469"/>
    <w:rsid w:val="0004253C"/>
    <w:rsid w:val="00042703"/>
    <w:rsid w:val="00042A8A"/>
    <w:rsid w:val="00050C5A"/>
    <w:rsid w:val="00055F9E"/>
    <w:rsid w:val="00056CC5"/>
    <w:rsid w:val="00060882"/>
    <w:rsid w:val="00064269"/>
    <w:rsid w:val="00067377"/>
    <w:rsid w:val="00070950"/>
    <w:rsid w:val="00091F1E"/>
    <w:rsid w:val="000924F0"/>
    <w:rsid w:val="000960C7"/>
    <w:rsid w:val="000966DF"/>
    <w:rsid w:val="000969EE"/>
    <w:rsid w:val="000A2713"/>
    <w:rsid w:val="000B61D5"/>
    <w:rsid w:val="000B7235"/>
    <w:rsid w:val="000C1C9A"/>
    <w:rsid w:val="000C444A"/>
    <w:rsid w:val="000D067F"/>
    <w:rsid w:val="000D72AD"/>
    <w:rsid w:val="000E0802"/>
    <w:rsid w:val="000E2CD9"/>
    <w:rsid w:val="000E4A8C"/>
    <w:rsid w:val="001023FF"/>
    <w:rsid w:val="00105223"/>
    <w:rsid w:val="00106D72"/>
    <w:rsid w:val="00107318"/>
    <w:rsid w:val="0011409A"/>
    <w:rsid w:val="00117890"/>
    <w:rsid w:val="001227A2"/>
    <w:rsid w:val="001262DB"/>
    <w:rsid w:val="0013166B"/>
    <w:rsid w:val="001335BF"/>
    <w:rsid w:val="00133DB3"/>
    <w:rsid w:val="00133FD9"/>
    <w:rsid w:val="00141A3F"/>
    <w:rsid w:val="00143F34"/>
    <w:rsid w:val="00147E80"/>
    <w:rsid w:val="00153288"/>
    <w:rsid w:val="0016116F"/>
    <w:rsid w:val="00173288"/>
    <w:rsid w:val="001756D2"/>
    <w:rsid w:val="00176E3C"/>
    <w:rsid w:val="00184E69"/>
    <w:rsid w:val="00185EDC"/>
    <w:rsid w:val="001909C7"/>
    <w:rsid w:val="0019119A"/>
    <w:rsid w:val="0019160F"/>
    <w:rsid w:val="001945A7"/>
    <w:rsid w:val="00194F46"/>
    <w:rsid w:val="001954C6"/>
    <w:rsid w:val="00196963"/>
    <w:rsid w:val="001B0415"/>
    <w:rsid w:val="001C2A91"/>
    <w:rsid w:val="001C34DC"/>
    <w:rsid w:val="001C4F52"/>
    <w:rsid w:val="001C6D01"/>
    <w:rsid w:val="001C6F19"/>
    <w:rsid w:val="001D06AA"/>
    <w:rsid w:val="001D09EF"/>
    <w:rsid w:val="001D20CA"/>
    <w:rsid w:val="001D254F"/>
    <w:rsid w:val="001D2565"/>
    <w:rsid w:val="001E1ACA"/>
    <w:rsid w:val="001E1FC2"/>
    <w:rsid w:val="001E3559"/>
    <w:rsid w:val="001E4472"/>
    <w:rsid w:val="001E7D5B"/>
    <w:rsid w:val="001F0ED6"/>
    <w:rsid w:val="001F66A5"/>
    <w:rsid w:val="001F69CE"/>
    <w:rsid w:val="001F6F0D"/>
    <w:rsid w:val="001F7495"/>
    <w:rsid w:val="0020236E"/>
    <w:rsid w:val="00205733"/>
    <w:rsid w:val="0021216F"/>
    <w:rsid w:val="00214694"/>
    <w:rsid w:val="002152BB"/>
    <w:rsid w:val="002215AC"/>
    <w:rsid w:val="00222438"/>
    <w:rsid w:val="00222AE7"/>
    <w:rsid w:val="002276AB"/>
    <w:rsid w:val="0023091A"/>
    <w:rsid w:val="00230F05"/>
    <w:rsid w:val="00231512"/>
    <w:rsid w:val="002335AF"/>
    <w:rsid w:val="00233D3D"/>
    <w:rsid w:val="00236078"/>
    <w:rsid w:val="00237F78"/>
    <w:rsid w:val="0024352D"/>
    <w:rsid w:val="00247005"/>
    <w:rsid w:val="002537A9"/>
    <w:rsid w:val="00253C25"/>
    <w:rsid w:val="00253FCD"/>
    <w:rsid w:val="0025584F"/>
    <w:rsid w:val="00257C78"/>
    <w:rsid w:val="00257F7E"/>
    <w:rsid w:val="0026341B"/>
    <w:rsid w:val="002658C7"/>
    <w:rsid w:val="00272037"/>
    <w:rsid w:val="00274F1F"/>
    <w:rsid w:val="002763A3"/>
    <w:rsid w:val="00280D41"/>
    <w:rsid w:val="0028175F"/>
    <w:rsid w:val="00285FEF"/>
    <w:rsid w:val="0028717E"/>
    <w:rsid w:val="00290B6B"/>
    <w:rsid w:val="002934B3"/>
    <w:rsid w:val="00295385"/>
    <w:rsid w:val="002A338B"/>
    <w:rsid w:val="002B2519"/>
    <w:rsid w:val="002C12D7"/>
    <w:rsid w:val="002C2FA5"/>
    <w:rsid w:val="002C6164"/>
    <w:rsid w:val="002C6C3F"/>
    <w:rsid w:val="002D05FE"/>
    <w:rsid w:val="002D0EF7"/>
    <w:rsid w:val="002D23D7"/>
    <w:rsid w:val="002D5C6A"/>
    <w:rsid w:val="002D6600"/>
    <w:rsid w:val="002E15D0"/>
    <w:rsid w:val="002E2E2C"/>
    <w:rsid w:val="002E33C9"/>
    <w:rsid w:val="002F30AC"/>
    <w:rsid w:val="002F5CC3"/>
    <w:rsid w:val="003063B6"/>
    <w:rsid w:val="003161DE"/>
    <w:rsid w:val="0031714F"/>
    <w:rsid w:val="00317DAD"/>
    <w:rsid w:val="00327F45"/>
    <w:rsid w:val="0033097F"/>
    <w:rsid w:val="00331A45"/>
    <w:rsid w:val="0033544E"/>
    <w:rsid w:val="00345F7D"/>
    <w:rsid w:val="00347908"/>
    <w:rsid w:val="00351141"/>
    <w:rsid w:val="00353C92"/>
    <w:rsid w:val="003567A1"/>
    <w:rsid w:val="00356F37"/>
    <w:rsid w:val="0036709B"/>
    <w:rsid w:val="003674F2"/>
    <w:rsid w:val="0037180C"/>
    <w:rsid w:val="00373E6C"/>
    <w:rsid w:val="00375E9C"/>
    <w:rsid w:val="00376454"/>
    <w:rsid w:val="00381375"/>
    <w:rsid w:val="0038571B"/>
    <w:rsid w:val="003932B8"/>
    <w:rsid w:val="003947FE"/>
    <w:rsid w:val="00395067"/>
    <w:rsid w:val="00395531"/>
    <w:rsid w:val="003A3A6B"/>
    <w:rsid w:val="003B28CA"/>
    <w:rsid w:val="003B7DA7"/>
    <w:rsid w:val="003C12D3"/>
    <w:rsid w:val="003C12DC"/>
    <w:rsid w:val="003C1BB7"/>
    <w:rsid w:val="003C247F"/>
    <w:rsid w:val="003C3761"/>
    <w:rsid w:val="003D3033"/>
    <w:rsid w:val="003E1308"/>
    <w:rsid w:val="003E5793"/>
    <w:rsid w:val="003E7A5F"/>
    <w:rsid w:val="003F2095"/>
    <w:rsid w:val="003F2CB6"/>
    <w:rsid w:val="003F4ACF"/>
    <w:rsid w:val="003F65DE"/>
    <w:rsid w:val="00404530"/>
    <w:rsid w:val="004116F6"/>
    <w:rsid w:val="00415468"/>
    <w:rsid w:val="00420FDF"/>
    <w:rsid w:val="00427B8D"/>
    <w:rsid w:val="0043173E"/>
    <w:rsid w:val="004320A4"/>
    <w:rsid w:val="00433C1D"/>
    <w:rsid w:val="0043624C"/>
    <w:rsid w:val="0043645B"/>
    <w:rsid w:val="00436A1B"/>
    <w:rsid w:val="00440CF3"/>
    <w:rsid w:val="00440DC2"/>
    <w:rsid w:val="00441E14"/>
    <w:rsid w:val="00442715"/>
    <w:rsid w:val="004534D3"/>
    <w:rsid w:val="00456ECA"/>
    <w:rsid w:val="004601DD"/>
    <w:rsid w:val="00465B46"/>
    <w:rsid w:val="00466D75"/>
    <w:rsid w:val="00470C63"/>
    <w:rsid w:val="00473588"/>
    <w:rsid w:val="004760F3"/>
    <w:rsid w:val="00477BBD"/>
    <w:rsid w:val="00481192"/>
    <w:rsid w:val="0048174D"/>
    <w:rsid w:val="00491D14"/>
    <w:rsid w:val="004920C8"/>
    <w:rsid w:val="004923C6"/>
    <w:rsid w:val="004924D2"/>
    <w:rsid w:val="004A0C96"/>
    <w:rsid w:val="004A28E5"/>
    <w:rsid w:val="004A28FD"/>
    <w:rsid w:val="004B1601"/>
    <w:rsid w:val="004B48CE"/>
    <w:rsid w:val="004C0160"/>
    <w:rsid w:val="004C3602"/>
    <w:rsid w:val="004C6209"/>
    <w:rsid w:val="004D4F5C"/>
    <w:rsid w:val="004E0FA8"/>
    <w:rsid w:val="004E7B2E"/>
    <w:rsid w:val="004F2AC9"/>
    <w:rsid w:val="004F48F2"/>
    <w:rsid w:val="004F557E"/>
    <w:rsid w:val="0050019A"/>
    <w:rsid w:val="005004DE"/>
    <w:rsid w:val="00502510"/>
    <w:rsid w:val="00515219"/>
    <w:rsid w:val="00521C94"/>
    <w:rsid w:val="00522CAE"/>
    <w:rsid w:val="00524CEB"/>
    <w:rsid w:val="005259E4"/>
    <w:rsid w:val="00530682"/>
    <w:rsid w:val="00534150"/>
    <w:rsid w:val="0054243D"/>
    <w:rsid w:val="0054572B"/>
    <w:rsid w:val="0055099D"/>
    <w:rsid w:val="00550BEC"/>
    <w:rsid w:val="00554EA2"/>
    <w:rsid w:val="00556B97"/>
    <w:rsid w:val="00556D5B"/>
    <w:rsid w:val="00560FAF"/>
    <w:rsid w:val="00561EC6"/>
    <w:rsid w:val="00563D53"/>
    <w:rsid w:val="00565E23"/>
    <w:rsid w:val="0056718A"/>
    <w:rsid w:val="00572152"/>
    <w:rsid w:val="00573EBE"/>
    <w:rsid w:val="0057669A"/>
    <w:rsid w:val="005779C0"/>
    <w:rsid w:val="00580FA5"/>
    <w:rsid w:val="00591A88"/>
    <w:rsid w:val="0059703A"/>
    <w:rsid w:val="005A216A"/>
    <w:rsid w:val="005B365C"/>
    <w:rsid w:val="005B4E6C"/>
    <w:rsid w:val="005B56AC"/>
    <w:rsid w:val="005B61BD"/>
    <w:rsid w:val="005C085B"/>
    <w:rsid w:val="005C2EF7"/>
    <w:rsid w:val="005C3815"/>
    <w:rsid w:val="005C5C95"/>
    <w:rsid w:val="005C65D0"/>
    <w:rsid w:val="005C7866"/>
    <w:rsid w:val="005D4C37"/>
    <w:rsid w:val="005D5959"/>
    <w:rsid w:val="005E4378"/>
    <w:rsid w:val="005E6912"/>
    <w:rsid w:val="005F0A5D"/>
    <w:rsid w:val="005F2E8B"/>
    <w:rsid w:val="00601270"/>
    <w:rsid w:val="00601641"/>
    <w:rsid w:val="00602BEC"/>
    <w:rsid w:val="00603338"/>
    <w:rsid w:val="00604909"/>
    <w:rsid w:val="006065E0"/>
    <w:rsid w:val="00615BDD"/>
    <w:rsid w:val="00616AEF"/>
    <w:rsid w:val="00617FAE"/>
    <w:rsid w:val="00623395"/>
    <w:rsid w:val="00623A6C"/>
    <w:rsid w:val="006259CA"/>
    <w:rsid w:val="00632AE5"/>
    <w:rsid w:val="00637ECB"/>
    <w:rsid w:val="0064094E"/>
    <w:rsid w:val="006410E2"/>
    <w:rsid w:val="006420F4"/>
    <w:rsid w:val="0064506E"/>
    <w:rsid w:val="00650534"/>
    <w:rsid w:val="006509BB"/>
    <w:rsid w:val="00661DF0"/>
    <w:rsid w:val="00663AB0"/>
    <w:rsid w:val="00676384"/>
    <w:rsid w:val="00681312"/>
    <w:rsid w:val="0068263A"/>
    <w:rsid w:val="00687E2E"/>
    <w:rsid w:val="006923D0"/>
    <w:rsid w:val="006946F2"/>
    <w:rsid w:val="006958E3"/>
    <w:rsid w:val="00695D52"/>
    <w:rsid w:val="00697824"/>
    <w:rsid w:val="006A207C"/>
    <w:rsid w:val="006C220A"/>
    <w:rsid w:val="006D6644"/>
    <w:rsid w:val="006D7981"/>
    <w:rsid w:val="006D7DC2"/>
    <w:rsid w:val="006E6AC0"/>
    <w:rsid w:val="006E7AC8"/>
    <w:rsid w:val="006F483A"/>
    <w:rsid w:val="007018F1"/>
    <w:rsid w:val="00705918"/>
    <w:rsid w:val="00706295"/>
    <w:rsid w:val="00706FC1"/>
    <w:rsid w:val="00710908"/>
    <w:rsid w:val="00710E79"/>
    <w:rsid w:val="00715967"/>
    <w:rsid w:val="007238D5"/>
    <w:rsid w:val="00724B38"/>
    <w:rsid w:val="0073024B"/>
    <w:rsid w:val="007315B7"/>
    <w:rsid w:val="00736270"/>
    <w:rsid w:val="00736A9F"/>
    <w:rsid w:val="00736FDA"/>
    <w:rsid w:val="00742BAF"/>
    <w:rsid w:val="00743DC0"/>
    <w:rsid w:val="00744320"/>
    <w:rsid w:val="007468B1"/>
    <w:rsid w:val="00752D80"/>
    <w:rsid w:val="00754458"/>
    <w:rsid w:val="00757BDB"/>
    <w:rsid w:val="0076373A"/>
    <w:rsid w:val="007637ED"/>
    <w:rsid w:val="007679B0"/>
    <w:rsid w:val="00772280"/>
    <w:rsid w:val="00773006"/>
    <w:rsid w:val="007735A3"/>
    <w:rsid w:val="00774201"/>
    <w:rsid w:val="00776569"/>
    <w:rsid w:val="00780336"/>
    <w:rsid w:val="00793045"/>
    <w:rsid w:val="007931C9"/>
    <w:rsid w:val="007A01BA"/>
    <w:rsid w:val="007A062D"/>
    <w:rsid w:val="007A26CD"/>
    <w:rsid w:val="007A6969"/>
    <w:rsid w:val="007B018C"/>
    <w:rsid w:val="007B2965"/>
    <w:rsid w:val="007B5EAB"/>
    <w:rsid w:val="007B79EB"/>
    <w:rsid w:val="007C0491"/>
    <w:rsid w:val="007E7229"/>
    <w:rsid w:val="007F05BD"/>
    <w:rsid w:val="0080016C"/>
    <w:rsid w:val="00800798"/>
    <w:rsid w:val="008019D9"/>
    <w:rsid w:val="00801A14"/>
    <w:rsid w:val="00804944"/>
    <w:rsid w:val="0081670C"/>
    <w:rsid w:val="00820BC7"/>
    <w:rsid w:val="008226E6"/>
    <w:rsid w:val="008228A2"/>
    <w:rsid w:val="00833978"/>
    <w:rsid w:val="00836E74"/>
    <w:rsid w:val="0084080F"/>
    <w:rsid w:val="00841B38"/>
    <w:rsid w:val="00845322"/>
    <w:rsid w:val="008516B4"/>
    <w:rsid w:val="00851DC1"/>
    <w:rsid w:val="00861858"/>
    <w:rsid w:val="008702C1"/>
    <w:rsid w:val="00874929"/>
    <w:rsid w:val="008775FE"/>
    <w:rsid w:val="0088090F"/>
    <w:rsid w:val="00892D23"/>
    <w:rsid w:val="0089345C"/>
    <w:rsid w:val="008937D2"/>
    <w:rsid w:val="008A24E2"/>
    <w:rsid w:val="008A3B64"/>
    <w:rsid w:val="008A5046"/>
    <w:rsid w:val="008B166D"/>
    <w:rsid w:val="008B2C91"/>
    <w:rsid w:val="008B386F"/>
    <w:rsid w:val="008B5845"/>
    <w:rsid w:val="008C462C"/>
    <w:rsid w:val="008E0554"/>
    <w:rsid w:val="008E1DDD"/>
    <w:rsid w:val="008E4306"/>
    <w:rsid w:val="008E6118"/>
    <w:rsid w:val="008F37B3"/>
    <w:rsid w:val="008F40A7"/>
    <w:rsid w:val="00902610"/>
    <w:rsid w:val="00915BA8"/>
    <w:rsid w:val="009212BB"/>
    <w:rsid w:val="009335C9"/>
    <w:rsid w:val="00945167"/>
    <w:rsid w:val="0094634D"/>
    <w:rsid w:val="00952DF0"/>
    <w:rsid w:val="00953E0D"/>
    <w:rsid w:val="0097396C"/>
    <w:rsid w:val="00973E12"/>
    <w:rsid w:val="00977265"/>
    <w:rsid w:val="00977641"/>
    <w:rsid w:val="00985241"/>
    <w:rsid w:val="00985877"/>
    <w:rsid w:val="00987CD5"/>
    <w:rsid w:val="0099388F"/>
    <w:rsid w:val="009A0278"/>
    <w:rsid w:val="009A4921"/>
    <w:rsid w:val="009A58CE"/>
    <w:rsid w:val="009A7171"/>
    <w:rsid w:val="009A7B28"/>
    <w:rsid w:val="009B4BDD"/>
    <w:rsid w:val="009B7784"/>
    <w:rsid w:val="009B7BFD"/>
    <w:rsid w:val="009C1075"/>
    <w:rsid w:val="009C166A"/>
    <w:rsid w:val="009C53D9"/>
    <w:rsid w:val="009C68CB"/>
    <w:rsid w:val="009C7EDD"/>
    <w:rsid w:val="009D177C"/>
    <w:rsid w:val="009D2728"/>
    <w:rsid w:val="009D3D31"/>
    <w:rsid w:val="009E0D23"/>
    <w:rsid w:val="009E65A8"/>
    <w:rsid w:val="009E6732"/>
    <w:rsid w:val="009F7024"/>
    <w:rsid w:val="009F7BA1"/>
    <w:rsid w:val="00A04BE2"/>
    <w:rsid w:val="00A05206"/>
    <w:rsid w:val="00A06987"/>
    <w:rsid w:val="00A06EA5"/>
    <w:rsid w:val="00A13D8A"/>
    <w:rsid w:val="00A2193A"/>
    <w:rsid w:val="00A22A47"/>
    <w:rsid w:val="00A23929"/>
    <w:rsid w:val="00A3044F"/>
    <w:rsid w:val="00A310E2"/>
    <w:rsid w:val="00A316B3"/>
    <w:rsid w:val="00A31A65"/>
    <w:rsid w:val="00A31FD4"/>
    <w:rsid w:val="00A32C0E"/>
    <w:rsid w:val="00A34A07"/>
    <w:rsid w:val="00A41517"/>
    <w:rsid w:val="00A42329"/>
    <w:rsid w:val="00A42DF8"/>
    <w:rsid w:val="00A44C0E"/>
    <w:rsid w:val="00A47A75"/>
    <w:rsid w:val="00A55656"/>
    <w:rsid w:val="00A629F5"/>
    <w:rsid w:val="00A63FA2"/>
    <w:rsid w:val="00A65290"/>
    <w:rsid w:val="00A6778A"/>
    <w:rsid w:val="00A705E3"/>
    <w:rsid w:val="00A710D8"/>
    <w:rsid w:val="00A751D4"/>
    <w:rsid w:val="00A86994"/>
    <w:rsid w:val="00A876F7"/>
    <w:rsid w:val="00A9585E"/>
    <w:rsid w:val="00A96E11"/>
    <w:rsid w:val="00AA0F10"/>
    <w:rsid w:val="00AA12ED"/>
    <w:rsid w:val="00AA1870"/>
    <w:rsid w:val="00AA20E5"/>
    <w:rsid w:val="00AA2F30"/>
    <w:rsid w:val="00AA2F8B"/>
    <w:rsid w:val="00AA39A1"/>
    <w:rsid w:val="00AA6552"/>
    <w:rsid w:val="00AB0D71"/>
    <w:rsid w:val="00AB29BE"/>
    <w:rsid w:val="00AB4AF9"/>
    <w:rsid w:val="00AB4CAD"/>
    <w:rsid w:val="00AB5C2C"/>
    <w:rsid w:val="00AC0F91"/>
    <w:rsid w:val="00AC1783"/>
    <w:rsid w:val="00AC5BB0"/>
    <w:rsid w:val="00AC66A2"/>
    <w:rsid w:val="00AC765B"/>
    <w:rsid w:val="00AD23B7"/>
    <w:rsid w:val="00AD748F"/>
    <w:rsid w:val="00AF20D5"/>
    <w:rsid w:val="00AF3E39"/>
    <w:rsid w:val="00AF447D"/>
    <w:rsid w:val="00AF4FFF"/>
    <w:rsid w:val="00B02624"/>
    <w:rsid w:val="00B04AFE"/>
    <w:rsid w:val="00B06165"/>
    <w:rsid w:val="00B17DCD"/>
    <w:rsid w:val="00B23D51"/>
    <w:rsid w:val="00B25DBE"/>
    <w:rsid w:val="00B30E29"/>
    <w:rsid w:val="00B36A21"/>
    <w:rsid w:val="00B3787E"/>
    <w:rsid w:val="00B44EFF"/>
    <w:rsid w:val="00B45876"/>
    <w:rsid w:val="00B46991"/>
    <w:rsid w:val="00B46ABE"/>
    <w:rsid w:val="00B61D26"/>
    <w:rsid w:val="00B61FD6"/>
    <w:rsid w:val="00B63909"/>
    <w:rsid w:val="00B66D2B"/>
    <w:rsid w:val="00B67439"/>
    <w:rsid w:val="00B769D9"/>
    <w:rsid w:val="00B77707"/>
    <w:rsid w:val="00B86A68"/>
    <w:rsid w:val="00B87FFC"/>
    <w:rsid w:val="00B915A9"/>
    <w:rsid w:val="00B93AE0"/>
    <w:rsid w:val="00B94653"/>
    <w:rsid w:val="00B96633"/>
    <w:rsid w:val="00BA356C"/>
    <w:rsid w:val="00BA5C9F"/>
    <w:rsid w:val="00BA6597"/>
    <w:rsid w:val="00BB210E"/>
    <w:rsid w:val="00BB41C1"/>
    <w:rsid w:val="00BB5C5C"/>
    <w:rsid w:val="00BC3AF7"/>
    <w:rsid w:val="00BC5723"/>
    <w:rsid w:val="00BC5B93"/>
    <w:rsid w:val="00BD2F04"/>
    <w:rsid w:val="00BD416B"/>
    <w:rsid w:val="00BD7CB8"/>
    <w:rsid w:val="00BD7DEE"/>
    <w:rsid w:val="00BE06A3"/>
    <w:rsid w:val="00BE2086"/>
    <w:rsid w:val="00BE6B6F"/>
    <w:rsid w:val="00BE74BB"/>
    <w:rsid w:val="00BE7FB1"/>
    <w:rsid w:val="00BF2EEB"/>
    <w:rsid w:val="00BF2FA3"/>
    <w:rsid w:val="00BF664C"/>
    <w:rsid w:val="00C00087"/>
    <w:rsid w:val="00C032C8"/>
    <w:rsid w:val="00C050E1"/>
    <w:rsid w:val="00C07406"/>
    <w:rsid w:val="00C118BF"/>
    <w:rsid w:val="00C15D6E"/>
    <w:rsid w:val="00C16995"/>
    <w:rsid w:val="00C21BA9"/>
    <w:rsid w:val="00C238C5"/>
    <w:rsid w:val="00C3205B"/>
    <w:rsid w:val="00C326FA"/>
    <w:rsid w:val="00C3308C"/>
    <w:rsid w:val="00C33796"/>
    <w:rsid w:val="00C34713"/>
    <w:rsid w:val="00C40354"/>
    <w:rsid w:val="00C41C4F"/>
    <w:rsid w:val="00C425F8"/>
    <w:rsid w:val="00C54F9C"/>
    <w:rsid w:val="00C643C6"/>
    <w:rsid w:val="00C70037"/>
    <w:rsid w:val="00C72F2C"/>
    <w:rsid w:val="00C7338E"/>
    <w:rsid w:val="00C77532"/>
    <w:rsid w:val="00C83FDC"/>
    <w:rsid w:val="00C85311"/>
    <w:rsid w:val="00C8672F"/>
    <w:rsid w:val="00C956E6"/>
    <w:rsid w:val="00CA17F8"/>
    <w:rsid w:val="00CA26A5"/>
    <w:rsid w:val="00CA2EF9"/>
    <w:rsid w:val="00CA73AE"/>
    <w:rsid w:val="00CB3DF3"/>
    <w:rsid w:val="00CB71B6"/>
    <w:rsid w:val="00CC519D"/>
    <w:rsid w:val="00CC5E1E"/>
    <w:rsid w:val="00CD0A78"/>
    <w:rsid w:val="00CD5EDF"/>
    <w:rsid w:val="00CD6FCF"/>
    <w:rsid w:val="00CE0D82"/>
    <w:rsid w:val="00CE380B"/>
    <w:rsid w:val="00CE4851"/>
    <w:rsid w:val="00CE57F7"/>
    <w:rsid w:val="00CE6731"/>
    <w:rsid w:val="00CE7056"/>
    <w:rsid w:val="00CF161A"/>
    <w:rsid w:val="00CF6B3F"/>
    <w:rsid w:val="00D0168B"/>
    <w:rsid w:val="00D02FBE"/>
    <w:rsid w:val="00D036EA"/>
    <w:rsid w:val="00D03F38"/>
    <w:rsid w:val="00D06B0B"/>
    <w:rsid w:val="00D13430"/>
    <w:rsid w:val="00D15726"/>
    <w:rsid w:val="00D1657F"/>
    <w:rsid w:val="00D169C7"/>
    <w:rsid w:val="00D32A1B"/>
    <w:rsid w:val="00D3490A"/>
    <w:rsid w:val="00D34ED6"/>
    <w:rsid w:val="00D35E62"/>
    <w:rsid w:val="00D36778"/>
    <w:rsid w:val="00D37387"/>
    <w:rsid w:val="00D4016A"/>
    <w:rsid w:val="00D413C7"/>
    <w:rsid w:val="00D41936"/>
    <w:rsid w:val="00D4322F"/>
    <w:rsid w:val="00D45F25"/>
    <w:rsid w:val="00D476EC"/>
    <w:rsid w:val="00D566C5"/>
    <w:rsid w:val="00D66BFE"/>
    <w:rsid w:val="00D821BE"/>
    <w:rsid w:val="00D82426"/>
    <w:rsid w:val="00D87F4B"/>
    <w:rsid w:val="00D92D8D"/>
    <w:rsid w:val="00D9421A"/>
    <w:rsid w:val="00D94D8E"/>
    <w:rsid w:val="00DA2D89"/>
    <w:rsid w:val="00DA4C6C"/>
    <w:rsid w:val="00DB1ADE"/>
    <w:rsid w:val="00DB4819"/>
    <w:rsid w:val="00DB4D71"/>
    <w:rsid w:val="00DC5BA3"/>
    <w:rsid w:val="00DC7519"/>
    <w:rsid w:val="00DD02A4"/>
    <w:rsid w:val="00DD26AC"/>
    <w:rsid w:val="00DD2823"/>
    <w:rsid w:val="00DE6235"/>
    <w:rsid w:val="00DF5127"/>
    <w:rsid w:val="00DF738D"/>
    <w:rsid w:val="00E002D3"/>
    <w:rsid w:val="00E00C71"/>
    <w:rsid w:val="00E05E6A"/>
    <w:rsid w:val="00E07B9E"/>
    <w:rsid w:val="00E15246"/>
    <w:rsid w:val="00E20DE4"/>
    <w:rsid w:val="00E27133"/>
    <w:rsid w:val="00E31656"/>
    <w:rsid w:val="00E33F76"/>
    <w:rsid w:val="00E42341"/>
    <w:rsid w:val="00E43447"/>
    <w:rsid w:val="00E51A8F"/>
    <w:rsid w:val="00E54ACF"/>
    <w:rsid w:val="00E5507E"/>
    <w:rsid w:val="00E65B32"/>
    <w:rsid w:val="00E71F72"/>
    <w:rsid w:val="00E74CE6"/>
    <w:rsid w:val="00E801B1"/>
    <w:rsid w:val="00E84B78"/>
    <w:rsid w:val="00E9055D"/>
    <w:rsid w:val="00E934A9"/>
    <w:rsid w:val="00E934B9"/>
    <w:rsid w:val="00E944F6"/>
    <w:rsid w:val="00E9515C"/>
    <w:rsid w:val="00EA0597"/>
    <w:rsid w:val="00EA4149"/>
    <w:rsid w:val="00EA493F"/>
    <w:rsid w:val="00EA6282"/>
    <w:rsid w:val="00EA70B4"/>
    <w:rsid w:val="00EB3DC6"/>
    <w:rsid w:val="00EB609E"/>
    <w:rsid w:val="00EB7382"/>
    <w:rsid w:val="00EC1844"/>
    <w:rsid w:val="00EC51F6"/>
    <w:rsid w:val="00ED0872"/>
    <w:rsid w:val="00ED7E50"/>
    <w:rsid w:val="00EE262C"/>
    <w:rsid w:val="00EF6133"/>
    <w:rsid w:val="00F115F1"/>
    <w:rsid w:val="00F2011C"/>
    <w:rsid w:val="00F2119F"/>
    <w:rsid w:val="00F21E81"/>
    <w:rsid w:val="00F320B1"/>
    <w:rsid w:val="00F327F1"/>
    <w:rsid w:val="00F329D4"/>
    <w:rsid w:val="00F3448F"/>
    <w:rsid w:val="00F41932"/>
    <w:rsid w:val="00F505DA"/>
    <w:rsid w:val="00F50AAD"/>
    <w:rsid w:val="00F5436F"/>
    <w:rsid w:val="00F628C1"/>
    <w:rsid w:val="00F670B0"/>
    <w:rsid w:val="00F7143E"/>
    <w:rsid w:val="00F718EB"/>
    <w:rsid w:val="00F733D7"/>
    <w:rsid w:val="00F74061"/>
    <w:rsid w:val="00F748AC"/>
    <w:rsid w:val="00F755EC"/>
    <w:rsid w:val="00F809E3"/>
    <w:rsid w:val="00F8154B"/>
    <w:rsid w:val="00F846CE"/>
    <w:rsid w:val="00F908E0"/>
    <w:rsid w:val="00F91AF3"/>
    <w:rsid w:val="00F973D7"/>
    <w:rsid w:val="00FA0442"/>
    <w:rsid w:val="00FA098F"/>
    <w:rsid w:val="00FA1DA3"/>
    <w:rsid w:val="00FA60EF"/>
    <w:rsid w:val="00FB14E7"/>
    <w:rsid w:val="00FB328C"/>
    <w:rsid w:val="00FB32DE"/>
    <w:rsid w:val="00FB381A"/>
    <w:rsid w:val="00FC5621"/>
    <w:rsid w:val="00FD10D0"/>
    <w:rsid w:val="00FD4AF8"/>
    <w:rsid w:val="00FD5C9E"/>
    <w:rsid w:val="00FE2B47"/>
    <w:rsid w:val="00FE4888"/>
    <w:rsid w:val="00FE7964"/>
    <w:rsid w:val="00FE7BCB"/>
    <w:rsid w:val="00FE7D04"/>
    <w:rsid w:val="00FF0813"/>
    <w:rsid w:val="00FF0BB6"/>
    <w:rsid w:val="00FF5B08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B601094"/>
  <w15:docId w15:val="{9C353416-3A7F-4B29-A9CA-040903A4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981"/>
    <w:pPr>
      <w:spacing w:before="120" w:after="0" w:line="240" w:lineRule="auto"/>
      <w:ind w:firstLine="567"/>
      <w:jc w:val="both"/>
    </w:pPr>
    <w:rPr>
      <w:rFonts w:ascii="Arial" w:eastAsia="Cambria" w:hAnsi="Arial" w:cs="Times New Roman"/>
      <w:szCs w:val="24"/>
    </w:rPr>
  </w:style>
  <w:style w:type="paragraph" w:styleId="Titre1">
    <w:name w:val="heading 1"/>
    <w:basedOn w:val="Normal"/>
    <w:next w:val="Normal"/>
    <w:link w:val="Titre1Car"/>
    <w:qFormat/>
    <w:rsid w:val="00022171"/>
    <w:pPr>
      <w:keepNext/>
      <w:keepLines/>
      <w:numPr>
        <w:numId w:val="1"/>
      </w:numPr>
      <w:spacing w:before="480"/>
      <w:outlineLvl w:val="0"/>
    </w:pPr>
    <w:rPr>
      <w:rFonts w:eastAsia="Times New Roman" w:cs="Arial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022171"/>
    <w:pPr>
      <w:keepNext/>
      <w:keepLines/>
      <w:numPr>
        <w:ilvl w:val="1"/>
        <w:numId w:val="1"/>
      </w:numPr>
      <w:spacing w:before="200"/>
      <w:outlineLvl w:val="1"/>
    </w:pPr>
    <w:rPr>
      <w:rFonts w:eastAsia="Times New Roman" w:cs="Arial"/>
      <w:b/>
      <w:bCs/>
      <w:color w:val="4F81BD"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022171"/>
    <w:pPr>
      <w:keepNext/>
      <w:keepLines/>
      <w:numPr>
        <w:ilvl w:val="2"/>
        <w:numId w:val="1"/>
      </w:numPr>
      <w:spacing w:before="200"/>
      <w:outlineLvl w:val="2"/>
    </w:pPr>
    <w:rPr>
      <w:rFonts w:eastAsia="Times New Roman" w:cs="Arial"/>
      <w:b/>
      <w:bCs/>
      <w:color w:val="4F81BD"/>
      <w:szCs w:val="22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022171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nhideWhenUsed/>
    <w:qFormat/>
    <w:rsid w:val="00022171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022171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022171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022171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022171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22171"/>
    <w:rPr>
      <w:rFonts w:ascii="Arial" w:eastAsia="Times New Roman" w:hAnsi="Arial" w:cs="Arial"/>
      <w:b/>
      <w:bCs/>
      <w:color w:val="345A8A"/>
      <w:sz w:val="32"/>
      <w:szCs w:val="32"/>
    </w:rPr>
  </w:style>
  <w:style w:type="character" w:customStyle="1" w:styleId="Titre2Car">
    <w:name w:val="Titre 2 Car"/>
    <w:basedOn w:val="Policepardfaut"/>
    <w:link w:val="Titre2"/>
    <w:rsid w:val="00022171"/>
    <w:rPr>
      <w:rFonts w:ascii="Arial" w:eastAsia="Times New Roman" w:hAnsi="Arial" w:cs="Arial"/>
      <w:b/>
      <w:bCs/>
      <w:color w:val="4F81BD"/>
      <w:sz w:val="28"/>
      <w:szCs w:val="28"/>
    </w:rPr>
  </w:style>
  <w:style w:type="character" w:customStyle="1" w:styleId="Titre3Car">
    <w:name w:val="Titre 3 Car"/>
    <w:basedOn w:val="Policepardfaut"/>
    <w:link w:val="Titre3"/>
    <w:rsid w:val="00022171"/>
    <w:rPr>
      <w:rFonts w:ascii="Arial" w:eastAsia="Times New Roman" w:hAnsi="Arial" w:cs="Arial"/>
      <w:b/>
      <w:bCs/>
      <w:color w:val="4F81BD"/>
    </w:rPr>
  </w:style>
  <w:style w:type="character" w:customStyle="1" w:styleId="Titre4Car">
    <w:name w:val="Titre 4 Car"/>
    <w:basedOn w:val="Policepardfaut"/>
    <w:link w:val="Titre4"/>
    <w:semiHidden/>
    <w:rsid w:val="00022171"/>
    <w:rPr>
      <w:rFonts w:ascii="Cambria" w:eastAsia="Times New Roman" w:hAnsi="Cambria" w:cs="Times New Roman"/>
      <w:b/>
      <w:bCs/>
      <w:i/>
      <w:iCs/>
      <w:color w:val="4F81BD"/>
      <w:szCs w:val="24"/>
    </w:rPr>
  </w:style>
  <w:style w:type="character" w:customStyle="1" w:styleId="Titre5Car">
    <w:name w:val="Titre 5 Car"/>
    <w:basedOn w:val="Policepardfaut"/>
    <w:link w:val="Titre5"/>
    <w:rsid w:val="00022171"/>
    <w:rPr>
      <w:rFonts w:ascii="Cambria" w:eastAsia="Times New Roman" w:hAnsi="Cambria" w:cs="Times New Roman"/>
      <w:color w:val="243F60"/>
      <w:szCs w:val="24"/>
    </w:rPr>
  </w:style>
  <w:style w:type="character" w:customStyle="1" w:styleId="Titre6Car">
    <w:name w:val="Titre 6 Car"/>
    <w:basedOn w:val="Policepardfaut"/>
    <w:link w:val="Titre6"/>
    <w:semiHidden/>
    <w:rsid w:val="00022171"/>
    <w:rPr>
      <w:rFonts w:ascii="Cambria" w:eastAsia="Times New Roman" w:hAnsi="Cambria" w:cs="Times New Roman"/>
      <w:i/>
      <w:iCs/>
      <w:color w:val="243F60"/>
      <w:szCs w:val="24"/>
    </w:rPr>
  </w:style>
  <w:style w:type="character" w:customStyle="1" w:styleId="Titre7Car">
    <w:name w:val="Titre 7 Car"/>
    <w:basedOn w:val="Policepardfaut"/>
    <w:link w:val="Titre7"/>
    <w:semiHidden/>
    <w:rsid w:val="00022171"/>
    <w:rPr>
      <w:rFonts w:ascii="Cambria" w:eastAsia="Times New Roman" w:hAnsi="Cambria" w:cs="Times New Roman"/>
      <w:i/>
      <w:iCs/>
      <w:color w:val="404040"/>
      <w:szCs w:val="24"/>
    </w:rPr>
  </w:style>
  <w:style w:type="character" w:customStyle="1" w:styleId="Titre8Car">
    <w:name w:val="Titre 8 Car"/>
    <w:basedOn w:val="Policepardfaut"/>
    <w:link w:val="Titre8"/>
    <w:semiHidden/>
    <w:rsid w:val="00022171"/>
    <w:rPr>
      <w:rFonts w:ascii="Cambria" w:eastAsia="Times New Roman" w:hAnsi="Cambria" w:cs="Times New Roman"/>
      <w:color w:val="404040"/>
      <w:szCs w:val="20"/>
    </w:rPr>
  </w:style>
  <w:style w:type="character" w:customStyle="1" w:styleId="Titre9Car">
    <w:name w:val="Titre 9 Car"/>
    <w:basedOn w:val="Policepardfaut"/>
    <w:link w:val="Titre9"/>
    <w:semiHidden/>
    <w:rsid w:val="00022171"/>
    <w:rPr>
      <w:rFonts w:ascii="Cambria" w:eastAsia="Times New Roman" w:hAnsi="Cambria" w:cs="Times New Roman"/>
      <w:i/>
      <w:iCs/>
      <w:color w:val="404040"/>
      <w:szCs w:val="20"/>
    </w:rPr>
  </w:style>
  <w:style w:type="paragraph" w:styleId="En-tte">
    <w:name w:val="header"/>
    <w:basedOn w:val="Normal"/>
    <w:link w:val="En-tteCar"/>
    <w:uiPriority w:val="99"/>
    <w:rsid w:val="000221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2171"/>
    <w:rPr>
      <w:rFonts w:ascii="Arial" w:eastAsia="Cambria" w:hAnsi="Arial" w:cs="Times New Roman"/>
      <w:sz w:val="20"/>
      <w:szCs w:val="24"/>
    </w:rPr>
  </w:style>
  <w:style w:type="paragraph" w:styleId="Pieddepage">
    <w:name w:val="footer"/>
    <w:basedOn w:val="Normal"/>
    <w:link w:val="PieddepageCar"/>
    <w:uiPriority w:val="99"/>
    <w:rsid w:val="000221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2171"/>
    <w:rPr>
      <w:rFonts w:ascii="Arial" w:eastAsia="Cambria" w:hAnsi="Arial" w:cs="Times New Roman"/>
      <w:sz w:val="20"/>
      <w:szCs w:val="24"/>
    </w:rPr>
  </w:style>
  <w:style w:type="character" w:styleId="Numrodepage">
    <w:name w:val="page number"/>
    <w:basedOn w:val="Policepardfaut"/>
    <w:rsid w:val="00022171"/>
  </w:style>
  <w:style w:type="paragraph" w:styleId="Notedebasdepage">
    <w:name w:val="footnote text"/>
    <w:aliases w:val="Footnote Text Char1,Footnote Text Char Char,Fußnotentext Char Char Char,Fußnotentext Char1 Char Char Char,Fußnotentext Char Char Char Char Char,Fußnotentext Char1 Char Char Char Char Char"/>
    <w:basedOn w:val="Normal"/>
    <w:link w:val="NotedebasdepageCar"/>
    <w:qFormat/>
    <w:rsid w:val="002A338B"/>
    <w:pPr>
      <w:ind w:left="397" w:right="397" w:hanging="397"/>
      <w:jc w:val="left"/>
    </w:pPr>
    <w:rPr>
      <w:rFonts w:asciiTheme="minorHAnsi" w:hAnsiTheme="minorHAnsi"/>
      <w:sz w:val="20"/>
      <w:szCs w:val="20"/>
    </w:rPr>
  </w:style>
  <w:style w:type="character" w:customStyle="1" w:styleId="NotedebasdepageCar">
    <w:name w:val="Note de bas de page Car"/>
    <w:aliases w:val="Footnote Text Char1 Car,Footnote Text Char Char Car,Fußnotentext Char Char Char Car,Fußnotentext Char1 Char Char Char Car,Fußnotentext Char Char Char Char Char Car,Fußnotentext Char1 Char Char Char Char Char Car"/>
    <w:basedOn w:val="Policepardfaut"/>
    <w:link w:val="Notedebasdepage"/>
    <w:rsid w:val="002A338B"/>
    <w:rPr>
      <w:rFonts w:eastAsia="Cambria" w:cs="Times New Roman"/>
      <w:sz w:val="20"/>
      <w:szCs w:val="20"/>
    </w:rPr>
  </w:style>
  <w:style w:type="character" w:styleId="Appelnotedebasdep">
    <w:name w:val="footnote reference"/>
    <w:rsid w:val="0002217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21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171"/>
    <w:rPr>
      <w:rFonts w:ascii="Tahoma" w:eastAsia="Cambria" w:hAnsi="Tahoma" w:cs="Tahoma"/>
      <w:sz w:val="16"/>
      <w:szCs w:val="16"/>
    </w:rPr>
  </w:style>
  <w:style w:type="paragraph" w:styleId="Paragraphedeliste">
    <w:name w:val="List Paragraph"/>
    <w:aliases w:val="Paragraphe EI,EC,Paragraphe de liste2,Colorful List Accent 1,Paragraphe de liste1,Paragraphe de liste11,Liste couleur - Accent 11,List Paragraph,Policy_Paragraph,List Paragraph1"/>
    <w:basedOn w:val="Normal"/>
    <w:link w:val="ParagraphedelisteCar"/>
    <w:uiPriority w:val="34"/>
    <w:qFormat/>
    <w:rsid w:val="00DD26AC"/>
    <w:pPr>
      <w:spacing w:before="0"/>
      <w:ind w:left="720" w:firstLine="0"/>
      <w:jc w:val="left"/>
    </w:pPr>
    <w:rPr>
      <w:rFonts w:ascii="Calibri" w:eastAsiaTheme="minorHAnsi" w:hAnsi="Calibri" w:cs="Calibri"/>
      <w:szCs w:val="22"/>
    </w:rPr>
  </w:style>
  <w:style w:type="character" w:customStyle="1" w:styleId="ParagraphedelisteCar">
    <w:name w:val="Paragraphe de liste Car"/>
    <w:aliases w:val="Paragraphe EI Car,EC Car,Paragraphe de liste2 Car,Colorful List Accent 1 Car,Paragraphe de liste1 Car,Paragraphe de liste11 Car,Liste couleur - Accent 11 Car,List Paragraph Car,Policy_Paragraph Car,List Paragraph1 Car"/>
    <w:link w:val="Paragraphedeliste"/>
    <w:uiPriority w:val="34"/>
    <w:rsid w:val="001D254F"/>
    <w:rPr>
      <w:rFonts w:ascii="Calibri" w:hAnsi="Calibri" w:cs="Calibri"/>
    </w:rPr>
  </w:style>
  <w:style w:type="paragraph" w:styleId="Textebrut">
    <w:name w:val="Plain Text"/>
    <w:basedOn w:val="Normal"/>
    <w:link w:val="TextebrutCar"/>
    <w:uiPriority w:val="99"/>
    <w:unhideWhenUsed/>
    <w:rsid w:val="001D254F"/>
    <w:pPr>
      <w:spacing w:before="0"/>
      <w:ind w:firstLine="0"/>
    </w:pPr>
    <w:rPr>
      <w:rFonts w:ascii="Consolas" w:eastAsiaTheme="minorHAnsi" w:hAnsi="Consolas" w:cs="Consolas"/>
      <w:sz w:val="21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rsid w:val="001D254F"/>
    <w:rPr>
      <w:rFonts w:ascii="Consolas" w:hAnsi="Consolas" w:cs="Consolas"/>
      <w:sz w:val="21"/>
      <w:szCs w:val="21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154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1546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15468"/>
    <w:rPr>
      <w:rFonts w:ascii="Arial" w:eastAsia="Cambria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54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5468"/>
    <w:rPr>
      <w:rFonts w:ascii="Arial" w:eastAsia="Cambria" w:hAnsi="Arial" w:cs="Times New Roman"/>
      <w:b/>
      <w:bCs/>
      <w:sz w:val="20"/>
      <w:szCs w:val="20"/>
    </w:rPr>
  </w:style>
  <w:style w:type="table" w:styleId="Tableauclassique2">
    <w:name w:val="Table Classic 2"/>
    <w:basedOn w:val="TableauNormal"/>
    <w:rsid w:val="0081670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751D4"/>
    <w:pPr>
      <w:spacing w:before="0"/>
      <w:ind w:firstLine="0"/>
      <w:jc w:val="left"/>
    </w:pPr>
    <w:rPr>
      <w:rFonts w:ascii="Times New Roman" w:eastAsiaTheme="minorHAnsi" w:hAnsi="Times New Roman"/>
      <w:sz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7143E"/>
    <w:rPr>
      <w:color w:val="0563C1"/>
      <w:u w:val="single"/>
    </w:rPr>
  </w:style>
  <w:style w:type="table" w:styleId="Grilledutableau">
    <w:name w:val="Table Grid"/>
    <w:basedOn w:val="TableauNormal"/>
    <w:uiPriority w:val="59"/>
    <w:rsid w:val="00E15246"/>
    <w:pPr>
      <w:spacing w:after="0" w:line="240" w:lineRule="auto"/>
    </w:pPr>
    <w:rPr>
      <w:rFonts w:ascii="Cambria" w:eastAsia="Cambria" w:hAnsi="Cambria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rtouchetitre">
    <w:name w:val="Cartouche_titre"/>
    <w:basedOn w:val="Normal"/>
    <w:rsid w:val="00E944F6"/>
    <w:pPr>
      <w:snapToGrid w:val="0"/>
      <w:spacing w:after="120"/>
      <w:ind w:firstLine="0"/>
      <w:jc w:val="center"/>
    </w:pPr>
    <w:rPr>
      <w:rFonts w:ascii="Times New Roman" w:hAnsi="Times New Roman"/>
      <w:b/>
      <w:color w:val="FFFFFF"/>
      <w:sz w:val="36"/>
      <w:szCs w:val="36"/>
    </w:rPr>
  </w:style>
  <w:style w:type="paragraph" w:styleId="Sous-titre">
    <w:name w:val="Subtitle"/>
    <w:basedOn w:val="CartoucheObjet"/>
    <w:next w:val="Normal"/>
    <w:link w:val="Sous-titreCar"/>
    <w:qFormat/>
    <w:rsid w:val="00E944F6"/>
    <w:pPr>
      <w:spacing w:before="0" w:after="0"/>
    </w:pPr>
    <w:rPr>
      <w:color w:val="345A8A"/>
      <w:sz w:val="24"/>
    </w:rPr>
  </w:style>
  <w:style w:type="character" w:customStyle="1" w:styleId="Sous-titreCar">
    <w:name w:val="Sous-titre Car"/>
    <w:basedOn w:val="Policepardfaut"/>
    <w:link w:val="Sous-titre"/>
    <w:rsid w:val="00E944F6"/>
    <w:rPr>
      <w:rFonts w:ascii="Times New Roman" w:eastAsia="Times New Roman" w:hAnsi="Times New Roman" w:cs="Times New Roman"/>
      <w:b/>
      <w:bCs/>
      <w:color w:val="345A8A"/>
      <w:sz w:val="24"/>
      <w:szCs w:val="20"/>
    </w:rPr>
  </w:style>
  <w:style w:type="paragraph" w:customStyle="1" w:styleId="Chrono">
    <w:name w:val="Chrono"/>
    <w:basedOn w:val="Normal"/>
    <w:link w:val="ChronoCar"/>
    <w:qFormat/>
    <w:rsid w:val="00E944F6"/>
    <w:pPr>
      <w:spacing w:before="0"/>
      <w:ind w:firstLine="0"/>
      <w:jc w:val="right"/>
    </w:pPr>
    <w:rPr>
      <w:rFonts w:ascii="Times New Roman" w:hAnsi="Times New Roman"/>
      <w:sz w:val="20"/>
    </w:rPr>
  </w:style>
  <w:style w:type="paragraph" w:customStyle="1" w:styleId="CartoucheObjet">
    <w:name w:val="Cartouche_Objet"/>
    <w:basedOn w:val="Normal"/>
    <w:rsid w:val="00E944F6"/>
    <w:pPr>
      <w:spacing w:before="60" w:after="60"/>
      <w:ind w:firstLine="0"/>
      <w:jc w:val="left"/>
    </w:pPr>
    <w:rPr>
      <w:rFonts w:ascii="Times New Roman" w:eastAsia="Times New Roman" w:hAnsi="Times New Roman"/>
      <w:b/>
      <w:bCs/>
      <w:color w:val="FFFFFF" w:themeColor="background1"/>
      <w:sz w:val="20"/>
      <w:szCs w:val="20"/>
    </w:rPr>
  </w:style>
  <w:style w:type="character" w:customStyle="1" w:styleId="ChronoCar">
    <w:name w:val="Chrono Car"/>
    <w:basedOn w:val="En-tteCar"/>
    <w:link w:val="Chrono"/>
    <w:rsid w:val="00E944F6"/>
    <w:rPr>
      <w:rFonts w:ascii="Times New Roman" w:eastAsia="Cambria" w:hAnsi="Times New Roman" w:cs="Times New Roman"/>
      <w:sz w:val="20"/>
      <w:szCs w:val="24"/>
    </w:rPr>
  </w:style>
  <w:style w:type="table" w:customStyle="1" w:styleId="Tramemoyenne1-Accent11">
    <w:name w:val="Trame moyenne 1 - Accent 11"/>
    <w:basedOn w:val="TableauNormal"/>
    <w:uiPriority w:val="63"/>
    <w:rsid w:val="00FF5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FF5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19160F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916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19160F"/>
    <w:rPr>
      <w:b/>
      <w:bCs/>
    </w:rPr>
  </w:style>
  <w:style w:type="paragraph" w:styleId="TM1">
    <w:name w:val="toc 1"/>
    <w:basedOn w:val="Normal"/>
    <w:next w:val="Normal"/>
    <w:autoRedefine/>
    <w:uiPriority w:val="39"/>
    <w:unhideWhenUsed/>
    <w:rsid w:val="007238D5"/>
    <w:pPr>
      <w:jc w:val="left"/>
    </w:pPr>
    <w:rPr>
      <w:rFonts w:asciiTheme="minorHAnsi" w:hAnsiTheme="minorHAnsi" w:cstheme="minorHAnsi"/>
      <w:b/>
      <w:bCs/>
      <w:i/>
      <w:iCs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7238D5"/>
    <w:pPr>
      <w:ind w:left="220"/>
      <w:jc w:val="left"/>
    </w:pPr>
    <w:rPr>
      <w:rFonts w:asciiTheme="minorHAnsi" w:hAnsiTheme="minorHAnsi" w:cstheme="minorHAnsi"/>
      <w:b/>
      <w:bCs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7238D5"/>
    <w:pPr>
      <w:spacing w:before="0"/>
      <w:ind w:left="440"/>
      <w:jc w:val="left"/>
    </w:pPr>
    <w:rPr>
      <w:rFonts w:asciiTheme="minorHAnsi" w:hAnsiTheme="minorHAnsi" w:cs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7238D5"/>
    <w:pPr>
      <w:spacing w:before="0"/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7238D5"/>
    <w:pPr>
      <w:spacing w:before="0"/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7238D5"/>
    <w:pPr>
      <w:spacing w:before="0"/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7238D5"/>
    <w:pPr>
      <w:spacing w:before="0"/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7238D5"/>
    <w:pPr>
      <w:spacing w:before="0"/>
      <w:ind w:left="1540"/>
      <w:jc w:val="left"/>
    </w:pPr>
    <w:rPr>
      <w:rFonts w:asciiTheme="minorHAnsi" w:hAnsiTheme="minorHAnsi"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7238D5"/>
    <w:pPr>
      <w:spacing w:before="0"/>
      <w:ind w:left="1760"/>
      <w:jc w:val="left"/>
    </w:pPr>
    <w:rPr>
      <w:rFonts w:asciiTheme="minorHAnsi" w:hAnsiTheme="minorHAnsi" w:cstheme="minorHAnsi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0016C"/>
    <w:pPr>
      <w:spacing w:before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0016C"/>
    <w:rPr>
      <w:rFonts w:ascii="Arial" w:eastAsia="Cambria" w:hAnsi="Arial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0016C"/>
    <w:rPr>
      <w:vertAlign w:val="superscript"/>
    </w:rPr>
  </w:style>
  <w:style w:type="paragraph" w:customStyle="1" w:styleId="IBFI-Prog-Textecourant">
    <w:name w:val="IBFI - Prog - Texte courant"/>
    <w:basedOn w:val="Normal"/>
    <w:qFormat/>
    <w:rsid w:val="005F0A5D"/>
    <w:pPr>
      <w:spacing w:before="0"/>
      <w:ind w:left="283" w:firstLine="0"/>
      <w:jc w:val="left"/>
    </w:pPr>
    <w:rPr>
      <w:rFonts w:eastAsia="Times New Roman" w:cs="Arial"/>
      <w:iCs/>
      <w:color w:val="597190"/>
      <w:sz w:val="18"/>
      <w:szCs w:val="18"/>
      <w:lang w:eastAsia="fr-FR"/>
    </w:rPr>
  </w:style>
  <w:style w:type="paragraph" w:customStyle="1" w:styleId="IBFI-Prog-Textecourantgras">
    <w:name w:val="IBFI - Prog - Texte courant gras"/>
    <w:basedOn w:val="Normal"/>
    <w:rsid w:val="005F0A5D"/>
    <w:pPr>
      <w:spacing w:before="0"/>
      <w:ind w:left="283" w:firstLine="0"/>
    </w:pPr>
    <w:rPr>
      <w:rFonts w:eastAsia="Times New Roman"/>
      <w:b/>
      <w:bCs/>
      <w:color w:val="597190"/>
      <w:sz w:val="18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822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5399050FF442BEDB4B01C33350B4" ma:contentTypeVersion="10" ma:contentTypeDescription="Crée un document." ma:contentTypeScope="" ma:versionID="577b356b69be779ec9b72dbe2a926ae5">
  <xsd:schema xmlns:xsd="http://www.w3.org/2001/XMLSchema" xmlns:xs="http://www.w3.org/2001/XMLSchema" xmlns:p="http://schemas.microsoft.com/office/2006/metadata/properties" xmlns:ns2="40e33274-d1dd-4c2e-b16b-f16a238059ed" xmlns:ns3="9f2ae251-2773-4602-9b3a-2eb350973e6a" targetNamespace="http://schemas.microsoft.com/office/2006/metadata/properties" ma:root="true" ma:fieldsID="c0bb82844e276cfe42e15de44a018477" ns2:_="" ns3:_="">
    <xsd:import namespace="40e33274-d1dd-4c2e-b16b-f16a238059ed"/>
    <xsd:import namespace="9f2ae251-2773-4602-9b3a-2eb350973e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ype_x0020_de_x0020_document" minOccurs="0"/>
                <xsd:element ref="ns3:GT" minOccurs="0"/>
                <xsd:element ref="ns3:Projet_x002f_sous_x002d_projet_x0020_S2" minOccurs="0"/>
                <xsd:element ref="ns3:Th_x00e8_me" minOccurs="0"/>
                <xsd:element ref="ns3:Sous_x002d_th_x00e8_me" minOccurs="0"/>
                <xsd:element ref="ns3:Etat" minOccurs="0"/>
                <xsd:element ref="ns3:Date_x0020_de_x0020_r_x00e9_f_x00e9_rence" minOccurs="0"/>
                <xsd:element ref="ns3:Technicit_x00e9_" minOccurs="0"/>
                <xsd:element ref="ns3:Commentair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33274-d1dd-4c2e-b16b-f16a238059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ae251-2773-4602-9b3a-2eb350973e6a" elementFormDefault="qualified">
    <xsd:import namespace="http://schemas.microsoft.com/office/2006/documentManagement/types"/>
    <xsd:import namespace="http://schemas.microsoft.com/office/infopath/2007/PartnerControls"/>
    <xsd:element name="Type_x0020_de_x0020_document" ma:index="11" nillable="true" ma:displayName="Type de document" ma:format="Dropdown" ma:internalName="Type_x0020_de_x0020_document">
      <xsd:simpleType>
        <xsd:restriction base="dms:Choice">
          <xsd:enumeration value="-"/>
          <xsd:enumeration value="Note"/>
          <xsd:enumeration value="ODJ"/>
          <xsd:enumeration value="CR"/>
          <xsd:enumeration value="Document de travail"/>
          <xsd:enumeration value="Présentation"/>
        </xsd:restriction>
      </xsd:simpleType>
    </xsd:element>
    <xsd:element name="GT" ma:index="12" nillable="true" ma:displayName="Groupe de travail" ma:internalName="G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T Gouvernance"/>
                    <xsd:enumeration value="GT FS, FP, ORSA"/>
                    <xsd:enumeration value="GT Valorisation"/>
                    <xsd:enumeration value="GT Groupes"/>
                    <xsd:enumeration value="COMI"/>
                    <xsd:enumeration value="SGR"/>
                    <xsd:enumeration value="Task Force LTGA"/>
                    <xsd:enumeration value="QIS IORP"/>
                    <xsd:enumeration value="TF Collecte 2013"/>
                  </xsd:restriction>
                </xsd:simpleType>
              </xsd:element>
            </xsd:sequence>
          </xsd:extension>
        </xsd:complexContent>
      </xsd:complexType>
    </xsd:element>
    <xsd:element name="Projet_x002f_sous_x002d_projet_x0020_S2" ma:index="13" nillable="true" ma:displayName="Projet/sous-projet S2" ma:internalName="Projet_x002f_sous_x002d_projet_x0020_S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rganisation du projet"/>
                    <xsd:enumeration value="Doctrine"/>
                    <xsd:enumeration value="Modèles internes"/>
                    <xsd:enumeration value="Petites entités"/>
                    <xsd:enumeration value="Informatique et reporting"/>
                    <xsd:enumeration value="Négociations européennes"/>
                    <xsd:enumeration value="Transposition"/>
                    <xsd:enumeration value="Préparation du marché"/>
                    <xsd:enumeration value="Réunions de place"/>
                    <xsd:enumeration value="Canevas de guide du contrôle"/>
                  </xsd:restriction>
                </xsd:simpleType>
              </xsd:element>
            </xsd:sequence>
          </xsd:extension>
        </xsd:complexContent>
      </xsd:complexType>
    </xsd:element>
    <xsd:element name="Th_x00e8_me" ma:index="14" nillable="true" ma:displayName="Thème" ma:internalName="Th_x00e8_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bsorption des pertes par les PT et ID"/>
                        <xsd:enumeration value="Capital add-on"/>
                        <xsd:enumeration value="Collèges"/>
                        <xsd:enumeration value="Equivalence"/>
                        <xsd:enumeration value="Fonds propres"/>
                        <xsd:enumeration value="Gouvernance"/>
                        <xsd:enumeration value="MCR"/>
                        <xsd:enumeration value="Modèles internes"/>
                        <xsd:enumeration value="ORSA"/>
                        <xsd:enumeration value="Process de contrôle prudentiel"/>
                        <xsd:enumeration value="Provisions techniques"/>
                        <xsd:enumeration value="Reporting BCE"/>
                        <xsd:enumeration value="Reporting S2 - états quantitatifs"/>
                        <xsd:enumeration value="Reporting S2 - narratif"/>
                        <xsd:enumeration value="Reporting Stabilité financière"/>
                        <xsd:enumeration value="Reportings nationaux spécifiques"/>
                        <xsd:enumeration value="Risques CAT"/>
                        <xsd:enumeration value="SCR Contrepartie"/>
                        <xsd:enumeration value="SCR hors CAT"/>
                        <xsd:enumeration value="SCR Marché"/>
                        <xsd:enumeration value="SCR Souscription"/>
                        <xsd:enumeration value="Solvabilité des groupes"/>
                        <xsd:enumeration value="Succursales de pays tiers"/>
                        <xsd:enumeration value="Techniques d’atténuation du risque"/>
                        <xsd:enumeration value="USP - GSP"/>
                        <xsd:enumeration value="Valorisation (hors PT)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ous_x002d_th_x00e8_me" ma:index="15" nillable="true" ma:displayName="Sous-thème" ma:internalName="Sous_x002d_th_x00e8_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bsorption des pertes par les PT et ID - LAC TP"/>
                        <xsd:enumeration value="Absorption des pertes par les PT et ID - LAC DT"/>
                        <xsd:enumeration value="Capital add-on - Circonstances"/>
                        <xsd:enumeration value="Capital add-on- Méthode de calcul"/>
                        <xsd:enumeration value="Capital add-on - Procédure"/>
                        <xsd:enumeration value="Collèges - Echange d’informations"/>
                        <xsd:enumeration value="Collèges - Fonctionnement"/>
                        <xsd:enumeration value="Equivalence - Généralités"/>
                        <xsd:enumeration value="Equivalence - Mesures transitoires"/>
                        <xsd:enumeration value="Fonds propres - Classification"/>
                        <xsd:enumeration value="Fonds propres - Fonds cantonnés"/>
                        <xsd:enumeration value="Fonds propres - Fonds propres auxiliaires"/>
                        <xsd:enumeration value="Fonds propres - Participations et autres déductions"/>
                        <xsd:enumeration value="Gouvernance - AMSB"/>
                        <xsd:enumeration value="Gouvernance - Fit and proper"/>
                        <xsd:enumeration value="Gouvernance - Fonctions clés"/>
                        <xsd:enumeration value="Gouvernance - Sous-traitance"/>
                        <xsd:enumeration value="Gouvernance - Spécificités des groupes"/>
                        <xsd:enumeration value="Modèles internes - Déviation des hupothèses sous-jacentes de la formule standard"/>
                        <xsd:enumeration value="Modèles internes - Procédure d'approbation"/>
                        <xsd:enumeration value="ORSA - Doctrine"/>
                        <xsd:enumeration value="ORSA - Spécificités des groupes"/>
                        <xsd:enumeration value="Process de contrôle prudentiel - Capital add-on"/>
                        <xsd:enumeration value="Process de contrôle prudentiel - Evaluation des risques (RAF)"/>
                        <xsd:enumeration value="Process de contrôle prudentiel - Evalution des risques (RAF)"/>
                        <xsd:enumeration value="Process de contrôle prudentiel - Guide de contrôle EIOPA"/>
                        <xsd:enumeration value="Process de contrôle prudentiel - Process"/>
                        <xsd:enumeration value="Provisions techniques - Courbe des taux (y.c. CCP/MA)"/>
                        <xsd:enumeration value="Provisions techniques - Frontières des contrats"/>
                        <xsd:enumeration value="Provisions techniques - Méthodologie/Actuarial guidelines"/>
                        <xsd:enumeration value="Provisions techniques - Segmentation et LoB"/>
                        <xsd:enumeration value="Reporting S2 - états quantitatifs - Application solo / groupe"/>
                        <xsd:enumeration value="Reporting S2 - états quantitatifs - Etats - Analyse de variation de fonds propres (VA)"/>
                        <xsd:enumeration value="Reporting S2 - états quantitatifs - Etats - Fonds propres (OF)"/>
                        <xsd:enumeration value="Reporting S2 - états quantitatifs - Etats - Placements (Assets)"/>
                        <xsd:enumeration value="Reporting S2 - états quantitatifs - Etats - Provisions techniques (TP)"/>
                        <xsd:enumeration value="Reporting S2 - états quantitatifs - Etats - Réassurance/ SPV"/>
                        <xsd:enumeration value="Reporting S2 - états quantitatifs - Etats spécifiques groupes"/>
                        <xsd:enumeration value="Reporting S2 - états quantitatifs - Etats-Bilan (BS)"/>
                        <xsd:enumeration value="Reporting S2 - états quantitatifs - Etats-Exigences de capital (SCR/ MCR)"/>
                        <xsd:enumeration value="Reporting S2 - états quantitatifs - Exemptions, seuils et proportionnalité"/>
                        <xsd:enumeration value="Reporting S2 - états quantitatifs - Fréquence et délais"/>
                        <xsd:enumeration value="Reporting S2 - états quantitatifs - Processus d'élaboration et d'approbation"/>
                        <xsd:enumeration value="Reporting S2 - états quantitatifs - Public disclosure"/>
                        <xsd:enumeration value="Reporting S2 - narratif - Rapport ORSA"/>
                        <xsd:enumeration value="Reporting S2 - narratif - RSR"/>
                        <xsd:enumeration value="Reporting S2 - narratif - SFCR (public disclosure)"/>
                        <xsd:enumeration value="SCR Contrepartie - Créanciers divers"/>
                        <xsd:enumeration value="SCR Contrepartie - Pools de réassurance"/>
                        <xsd:enumeration value="SCR Contrepartie - Prêts hypothécaires"/>
                        <xsd:enumeration value="SCR Contrepartie - Produits dérivés"/>
                        <xsd:enumeration value="SCR Contrepartie - Réassurance"/>
                        <xsd:enumeration value="SCR Marché - Autres risques"/>
                        <xsd:enumeration value="SCR Marché - Risque de taux et spread"/>
                        <xsd:enumeration value="SCR Marché - Transparisation"/>
                        <xsd:enumeration value="SCR Souscription - CAT"/>
                        <xsd:enumeration value="SCR Souscription - Non-Vie"/>
                        <xsd:enumeration value="SCR Souscription - Santé"/>
                        <xsd:enumeration value="SCR Souscription - Vie"/>
                        <xsd:enumeration value="Solvabilité des groupes - Fonds propres"/>
                        <xsd:enumeration value="Solvabilité des groupes - SCR / MCR"/>
                        <xsd:enumeration value="Solvabilité des groupes - Transactions intragroupes"/>
                        <xsd:enumeration value="Techniques d’atténuation du risque - Basis Risk"/>
                        <xsd:enumeration value="Techniques d’atténuation du risque - Techniques assurantielles"/>
                        <xsd:enumeration value="Techniques d’atténuation du risque - Techniques financières"/>
                        <xsd:enumeration value="USP - GSP - Méthodes"/>
                        <xsd:enumeration value="USP - GSP - Procédure d'approbation"/>
                        <xsd:enumeration value="USP - GSP - Qualité des données"/>
                        <xsd:enumeration value="Valorisation (hors PT) - Dettes financières"/>
                        <xsd:enumeration value="Valorisation (hors PT) - Impôts différés"/>
                        <xsd:enumeration value="Valorisation (hors PT) - Passifs contingents et garanties"/>
                        <xsd:enumeration value="Valorisation (hors PT) - Passifs sociaux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Etat" ma:index="16" nillable="true" ma:displayName="Etat" ma:format="Dropdown" ma:internalName="Etat">
      <xsd:simpleType>
        <xsd:restriction base="dms:Choice">
          <xsd:enumeration value="-"/>
          <xsd:enumeration value="Draft"/>
          <xsd:enumeration value="A valider par Copil"/>
          <xsd:enumeration value="A valider par CoTech"/>
          <xsd:enumeration value="A valider par comité de relecture"/>
          <xsd:enumeration value="Validé par Copil"/>
          <xsd:enumeration value="Validé par CoTech"/>
          <xsd:enumeration value="Validé par comité de relecture"/>
          <xsd:enumeration value="Validé"/>
        </xsd:restriction>
      </xsd:simpleType>
    </xsd:element>
    <xsd:element name="Date_x0020_de_x0020_r_x00e9_f_x00e9_rence" ma:index="17" nillable="true" ma:displayName="Date de référence" ma:default="[today]" ma:format="DateOnly" ma:internalName="Date_x0020_de_x0020_r_x00e9_f_x00e9_rence">
      <xsd:simpleType>
        <xsd:restriction base="dms:DateTime"/>
      </xsd:simpleType>
    </xsd:element>
    <xsd:element name="Technicit_x00e9_" ma:index="18" nillable="true" ma:displayName="Technicité" ma:format="Dropdown" ma:internalName="Technicit_x00e9_">
      <xsd:simpleType>
        <xsd:restriction base="dms:Choice">
          <xsd:enumeration value="-"/>
          <xsd:enumeration value="*"/>
          <xsd:enumeration value="**"/>
          <xsd:enumeration value="***"/>
        </xsd:restriction>
      </xsd:simpleType>
    </xsd:element>
    <xsd:element name="Commentaires" ma:index="19" nillable="true" ma:displayName="Commentaires" ma:internalName="Commentair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e_x0020_document xmlns="9f2ae251-2773-4602-9b3a-2eb350973e6a" xsi:nil="true"/>
    <GT xmlns="9f2ae251-2773-4602-9b3a-2eb350973e6a"/>
    <Technicit_x00e9_ xmlns="9f2ae251-2773-4602-9b3a-2eb350973e6a" xsi:nil="true"/>
    <Commentaires xmlns="9f2ae251-2773-4602-9b3a-2eb350973e6a" xsi:nil="true"/>
    <Projet_x002f_sous_x002d_projet_x0020_S2 xmlns="9f2ae251-2773-4602-9b3a-2eb350973e6a"/>
    <Date_x0020_de_x0020_r_x00e9_f_x00e9_rence xmlns="9f2ae251-2773-4602-9b3a-2eb350973e6a">2015-04-15T22:00:00+00:00</Date_x0020_de_x0020_r_x00e9_f_x00e9_rence>
    <Th_x00e8_me xmlns="9f2ae251-2773-4602-9b3a-2eb350973e6a"/>
    <Etat xmlns="9f2ae251-2773-4602-9b3a-2eb350973e6a" xsi:nil="true"/>
    <Sous_x002d_th_x00e8_me xmlns="9f2ae251-2773-4602-9b3a-2eb350973e6a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B8E9A-3C87-480C-9354-8935FACB96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7F89F0-C699-4DDB-B6F9-01D20DB12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33274-d1dd-4c2e-b16b-f16a238059ed"/>
    <ds:schemaRef ds:uri="9f2ae251-2773-4602-9b3a-2eb350973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5A702-7E15-491C-8B24-D7E8512CFC9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CC12521-D2D7-431C-8C00-4790A03895C3}">
  <ds:schemaRefs>
    <ds:schemaRef ds:uri="http://schemas.microsoft.com/office/2006/metadata/properties"/>
    <ds:schemaRef ds:uri="http://schemas.microsoft.com/office/infopath/2007/PartnerControls"/>
    <ds:schemaRef ds:uri="9f2ae251-2773-4602-9b3a-2eb350973e6a"/>
  </ds:schemaRefs>
</ds:datastoreItem>
</file>

<file path=customXml/itemProps5.xml><?xml version="1.0" encoding="utf-8"?>
<ds:datastoreItem xmlns:ds="http://schemas.openxmlformats.org/officeDocument/2006/customXml" ds:itemID="{075807B6-F93E-46F2-91DD-30E5BB15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ODJ_Rencntre GCAF du 9 novembre 2021;</vt:lpstr>
    </vt:vector>
  </TitlesOfParts>
  <Company>Banque de France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ODJ_Rencntre GCAF du 9 novembre 2021;</dc:title>
  <dc:creator>Autorité des marchés financiers</dc:creator>
  <cp:keywords>ODJ_Rencntre;GCAF;9 novembre 2021</cp:keywords>
  <cp:lastModifiedBy>TEMPE François (UA 2774)</cp:lastModifiedBy>
  <cp:revision>4</cp:revision>
  <cp:lastPrinted>2022-03-22T15:17:00Z</cp:lastPrinted>
  <dcterms:created xsi:type="dcterms:W3CDTF">2022-03-22T15:16:00Z</dcterms:created>
  <dcterms:modified xsi:type="dcterms:W3CDTF">2022-03-22T18:44:00Z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0x010100067B5399050FF442BEDB4B01C33350B4</vt:lpwstr>
  </property>
</Properties>
</file>