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shd w:val="clear" w:color="auto" w:fill="2E74B5" w:themeFill="accent1" w:themeFillShade="BF"/>
        <w:tblLook w:val="04A0" w:firstRow="1" w:lastRow="0" w:firstColumn="1" w:lastColumn="0" w:noHBand="0" w:noVBand="1"/>
      </w:tblPr>
      <w:tblGrid>
        <w:gridCol w:w="9060"/>
      </w:tblGrid>
      <w:tr w:rsidR="00D7618B" w:rsidRPr="00D7618B" w:rsidTr="00A901FE">
        <w:trPr>
          <w:jc w:val="center"/>
        </w:trPr>
        <w:tc>
          <w:tcPr>
            <w:tcW w:w="9062" w:type="dxa"/>
            <w:shd w:val="clear" w:color="auto" w:fill="2E74B5" w:themeFill="accent1" w:themeFillShade="BF"/>
          </w:tcPr>
          <w:p w:rsidR="00D7618B" w:rsidRPr="00710C63" w:rsidRDefault="00D7618B" w:rsidP="00D23C00">
            <w:pPr>
              <w:spacing w:after="120"/>
              <w:jc w:val="center"/>
              <w:rPr>
                <w:rFonts w:cstheme="minorHAnsi"/>
                <w:b/>
                <w:color w:val="FFFFFF" w:themeColor="background1"/>
                <w:sz w:val="28"/>
                <w:szCs w:val="28"/>
                <w:vertAlign w:val="superscript"/>
              </w:rPr>
            </w:pPr>
            <w:bookmarkStart w:id="0" w:name="_GoBack"/>
            <w:bookmarkEnd w:id="0"/>
            <w:r w:rsidRPr="00E9429E">
              <w:rPr>
                <w:rFonts w:cstheme="minorHAnsi"/>
                <w:b/>
                <w:color w:val="FFFFFF" w:themeColor="background1"/>
                <w:sz w:val="28"/>
                <w:szCs w:val="28"/>
              </w:rPr>
              <w:t xml:space="preserve">CR de la réunion </w:t>
            </w:r>
            <w:r w:rsidR="00D23C00">
              <w:rPr>
                <w:rFonts w:cstheme="minorHAnsi"/>
                <w:b/>
                <w:color w:val="FFFFFF" w:themeColor="background1"/>
                <w:sz w:val="28"/>
                <w:szCs w:val="28"/>
              </w:rPr>
              <w:t>du GCAF –</w:t>
            </w:r>
            <w:r w:rsidR="00E9429E">
              <w:rPr>
                <w:b/>
                <w:bCs/>
                <w:sz w:val="28"/>
                <w:szCs w:val="28"/>
              </w:rPr>
              <w:br/>
            </w:r>
            <w:r w:rsidRPr="00710C63">
              <w:rPr>
                <w:rFonts w:cstheme="minorHAnsi"/>
                <w:b/>
                <w:color w:val="FFFFFF" w:themeColor="background1"/>
                <w:sz w:val="28"/>
                <w:szCs w:val="28"/>
              </w:rPr>
              <w:t>Groupes des contrôleurs d’assurance francophones</w:t>
            </w:r>
            <w:r w:rsidR="00D23C00">
              <w:rPr>
                <w:rFonts w:cstheme="minorHAnsi"/>
                <w:b/>
                <w:color w:val="FFFFFF" w:themeColor="background1"/>
                <w:sz w:val="28"/>
                <w:szCs w:val="28"/>
              </w:rPr>
              <w:br/>
              <w:t>à Paris, 30 janvier–1</w:t>
            </w:r>
            <w:r w:rsidR="00D23C00" w:rsidRPr="00D23C00">
              <w:rPr>
                <w:rFonts w:cstheme="minorHAnsi"/>
                <w:b/>
                <w:color w:val="FFFFFF" w:themeColor="background1"/>
                <w:sz w:val="28"/>
                <w:szCs w:val="28"/>
                <w:vertAlign w:val="superscript"/>
              </w:rPr>
              <w:t>er</w:t>
            </w:r>
            <w:r w:rsidR="00D23C00">
              <w:rPr>
                <w:rFonts w:cstheme="minorHAnsi"/>
                <w:b/>
                <w:color w:val="FFFFFF" w:themeColor="background1"/>
                <w:sz w:val="28"/>
                <w:szCs w:val="28"/>
              </w:rPr>
              <w:t xml:space="preserve"> février 2024</w:t>
            </w:r>
          </w:p>
          <w:p w:rsidR="00D7618B" w:rsidRPr="00A901FE" w:rsidRDefault="00D7618B">
            <w:pPr>
              <w:rPr>
                <w:b/>
                <w:bCs/>
              </w:rPr>
            </w:pPr>
          </w:p>
        </w:tc>
      </w:tr>
    </w:tbl>
    <w:p w:rsidR="00D7618B" w:rsidRDefault="00D7618B"/>
    <w:p w:rsidR="008A1FEA" w:rsidRPr="00F9613F" w:rsidRDefault="008A1FEA">
      <w:r w:rsidRPr="00F9613F">
        <w:rPr>
          <w:b/>
        </w:rPr>
        <w:t>Participants</w:t>
      </w:r>
      <w:r w:rsidR="00427DD4" w:rsidRPr="00F9613F">
        <w:t> : représentants de</w:t>
      </w:r>
      <w:r w:rsidR="009362BD">
        <w:t> :</w:t>
      </w:r>
      <w:r w:rsidR="00427DD4" w:rsidRPr="00F9613F">
        <w:t xml:space="preserve"> </w:t>
      </w:r>
      <w:r w:rsidR="00D23C00" w:rsidRPr="00F9613F">
        <w:rPr>
          <w:color w:val="000000"/>
        </w:rPr>
        <w:t>A2ii (Access to Insurance Initiative)</w:t>
      </w:r>
      <w:r w:rsidR="00D23C00" w:rsidRPr="00F9613F">
        <w:t xml:space="preserve"> (1)</w:t>
      </w:r>
      <w:r w:rsidR="009362BD">
        <w:t> ;</w:t>
      </w:r>
      <w:r w:rsidR="00D23C00" w:rsidRPr="00F9613F">
        <w:rPr>
          <w:color w:val="000000"/>
        </w:rPr>
        <w:t xml:space="preserve"> </w:t>
      </w:r>
      <w:r w:rsidR="00D23C00" w:rsidRPr="00F9613F">
        <w:t>AICA (Association internationale des contrôleurs d’assurance) (1)</w:t>
      </w:r>
      <w:r w:rsidR="009362BD">
        <w:t> ;</w:t>
      </w:r>
      <w:r w:rsidR="00D23C00" w:rsidRPr="00F9613F">
        <w:t xml:space="preserve"> Belgique (2)</w:t>
      </w:r>
      <w:r w:rsidR="009362BD">
        <w:rPr>
          <w:color w:val="000000"/>
        </w:rPr>
        <w:t> ;</w:t>
      </w:r>
      <w:r w:rsidR="00D23C00" w:rsidRPr="00F9613F">
        <w:rPr>
          <w:color w:val="000000"/>
        </w:rPr>
        <w:t xml:space="preserve"> </w:t>
      </w:r>
      <w:r w:rsidR="00D23C00" w:rsidRPr="00F9613F">
        <w:t>Bénin (1)</w:t>
      </w:r>
      <w:r w:rsidR="009362BD">
        <w:t> ;</w:t>
      </w:r>
      <w:r w:rsidR="00D23C00" w:rsidRPr="00F9613F">
        <w:t xml:space="preserve"> </w:t>
      </w:r>
      <w:r w:rsidR="00D23C00" w:rsidRPr="00F9613F">
        <w:rPr>
          <w:color w:val="000000"/>
        </w:rPr>
        <w:t>CIMA</w:t>
      </w:r>
      <w:r w:rsidR="00D23C00" w:rsidRPr="00F9613F">
        <w:t xml:space="preserve"> (1)</w:t>
      </w:r>
      <w:r w:rsidR="009362BD">
        <w:rPr>
          <w:color w:val="000000"/>
        </w:rPr>
        <w:t> ;</w:t>
      </w:r>
      <w:r w:rsidR="00D23C00" w:rsidRPr="00F9613F">
        <w:rPr>
          <w:color w:val="000000"/>
        </w:rPr>
        <w:t xml:space="preserve"> Côte d’Ivoire</w:t>
      </w:r>
      <w:r w:rsidR="00D23C00" w:rsidRPr="00F9613F">
        <w:t xml:space="preserve"> (2)</w:t>
      </w:r>
      <w:r w:rsidR="009362BD">
        <w:rPr>
          <w:color w:val="000000"/>
        </w:rPr>
        <w:t> ;</w:t>
      </w:r>
      <w:r w:rsidR="00D23C00" w:rsidRPr="00F9613F">
        <w:rPr>
          <w:color w:val="000000"/>
        </w:rPr>
        <w:t xml:space="preserve"> </w:t>
      </w:r>
      <w:r w:rsidR="00D23C00" w:rsidRPr="00F9613F">
        <w:t>France (5)</w:t>
      </w:r>
      <w:r w:rsidR="009362BD">
        <w:rPr>
          <w:color w:val="000000"/>
        </w:rPr>
        <w:t> ;</w:t>
      </w:r>
      <w:r w:rsidR="00D23C00" w:rsidRPr="00F9613F">
        <w:rPr>
          <w:color w:val="000000"/>
        </w:rPr>
        <w:t xml:space="preserve"> Gabon</w:t>
      </w:r>
      <w:r w:rsidR="00D23C00" w:rsidRPr="00F9613F">
        <w:t xml:space="preserve"> (2)</w:t>
      </w:r>
      <w:r w:rsidR="009362BD">
        <w:rPr>
          <w:color w:val="000000"/>
        </w:rPr>
        <w:t> ;</w:t>
      </w:r>
      <w:r w:rsidR="00D23C00" w:rsidRPr="00F9613F">
        <w:rPr>
          <w:color w:val="000000"/>
        </w:rPr>
        <w:t xml:space="preserve"> Guinée Bissau</w:t>
      </w:r>
      <w:r w:rsidR="00D23C00" w:rsidRPr="00F9613F">
        <w:t xml:space="preserve"> (1)</w:t>
      </w:r>
      <w:r w:rsidR="009362BD">
        <w:rPr>
          <w:color w:val="000000"/>
        </w:rPr>
        <w:t> ;</w:t>
      </w:r>
      <w:r w:rsidR="00D23C00" w:rsidRPr="00F9613F">
        <w:rPr>
          <w:color w:val="000000"/>
        </w:rPr>
        <w:t xml:space="preserve"> IIA (Institut international des assurances) (1)</w:t>
      </w:r>
      <w:r w:rsidR="009362BD">
        <w:rPr>
          <w:color w:val="000000"/>
        </w:rPr>
        <w:t> ;</w:t>
      </w:r>
      <w:r w:rsidR="00D23C00" w:rsidRPr="00F9613F">
        <w:rPr>
          <w:color w:val="000000"/>
        </w:rPr>
        <w:t xml:space="preserve"> Madagascar</w:t>
      </w:r>
      <w:r w:rsidR="00D23C00" w:rsidRPr="00F9613F">
        <w:t xml:space="preserve"> (4)</w:t>
      </w:r>
      <w:r w:rsidR="009362BD">
        <w:rPr>
          <w:color w:val="000000"/>
        </w:rPr>
        <w:t> ;</w:t>
      </w:r>
      <w:r w:rsidR="00D23C00" w:rsidRPr="00F9613F">
        <w:rPr>
          <w:color w:val="000000"/>
        </w:rPr>
        <w:t xml:space="preserve"> Maroc (5)</w:t>
      </w:r>
      <w:r w:rsidR="009362BD">
        <w:rPr>
          <w:color w:val="000000"/>
        </w:rPr>
        <w:t> ;</w:t>
      </w:r>
      <w:r w:rsidR="00D23C00" w:rsidRPr="00F9613F">
        <w:rPr>
          <w:color w:val="000000"/>
        </w:rPr>
        <w:t xml:space="preserve"> Mauritanie</w:t>
      </w:r>
      <w:r w:rsidR="00D23C00" w:rsidRPr="00F9613F">
        <w:t xml:space="preserve"> (1)</w:t>
      </w:r>
      <w:r w:rsidR="009362BD">
        <w:rPr>
          <w:color w:val="000000"/>
        </w:rPr>
        <w:t> ;</w:t>
      </w:r>
      <w:r w:rsidR="00D23C00" w:rsidRPr="00F9613F">
        <w:rPr>
          <w:color w:val="000000"/>
        </w:rPr>
        <w:t xml:space="preserve"> </w:t>
      </w:r>
      <w:r w:rsidR="00D23C00" w:rsidRPr="00F9613F">
        <w:t>Moldavie (2)</w:t>
      </w:r>
      <w:r w:rsidR="009362BD">
        <w:t> ;</w:t>
      </w:r>
      <w:r w:rsidR="00D23C00" w:rsidRPr="00F9613F">
        <w:t xml:space="preserve"> </w:t>
      </w:r>
      <w:r w:rsidR="00D23C00" w:rsidRPr="00F9613F">
        <w:rPr>
          <w:color w:val="000000"/>
        </w:rPr>
        <w:t>Québec</w:t>
      </w:r>
      <w:r w:rsidR="00D23C00" w:rsidRPr="00F9613F">
        <w:t xml:space="preserve"> (1)</w:t>
      </w:r>
      <w:r w:rsidR="009362BD">
        <w:rPr>
          <w:color w:val="000000"/>
        </w:rPr>
        <w:t> ;</w:t>
      </w:r>
      <w:r w:rsidR="00D23C00" w:rsidRPr="00F9613F">
        <w:rPr>
          <w:color w:val="000000"/>
        </w:rPr>
        <w:t xml:space="preserve"> RD Congo</w:t>
      </w:r>
      <w:r w:rsidR="00D23C00" w:rsidRPr="00F9613F">
        <w:t xml:space="preserve"> (6)</w:t>
      </w:r>
      <w:r w:rsidR="009362BD">
        <w:rPr>
          <w:color w:val="000000"/>
        </w:rPr>
        <w:t> ;</w:t>
      </w:r>
      <w:r w:rsidR="00D23C00" w:rsidRPr="00F9613F">
        <w:rPr>
          <w:color w:val="000000"/>
        </w:rPr>
        <w:t xml:space="preserve"> </w:t>
      </w:r>
      <w:r w:rsidR="00D23C00" w:rsidRPr="00F9613F">
        <w:t>Sénégal (2)</w:t>
      </w:r>
      <w:r w:rsidR="009362BD">
        <w:t> ;</w:t>
      </w:r>
      <w:r w:rsidR="00D23C00" w:rsidRPr="00F9613F">
        <w:t xml:space="preserve"> </w:t>
      </w:r>
      <w:r w:rsidR="00D23C00" w:rsidRPr="00F9613F">
        <w:rPr>
          <w:color w:val="000000"/>
        </w:rPr>
        <w:t>Suisse</w:t>
      </w:r>
      <w:r w:rsidR="00D23C00" w:rsidRPr="00F9613F">
        <w:t xml:space="preserve"> (1)</w:t>
      </w:r>
      <w:r w:rsidR="009362BD">
        <w:rPr>
          <w:color w:val="000000"/>
        </w:rPr>
        <w:t> ;</w:t>
      </w:r>
      <w:r w:rsidR="00D23C00" w:rsidRPr="00F9613F">
        <w:rPr>
          <w:color w:val="000000"/>
        </w:rPr>
        <w:t xml:space="preserve"> </w:t>
      </w:r>
      <w:r w:rsidR="00D23C00" w:rsidRPr="00F9613F">
        <w:t>Tchad (1)</w:t>
      </w:r>
      <w:r w:rsidR="009362BD">
        <w:t> ;</w:t>
      </w:r>
      <w:r w:rsidR="00D23C00" w:rsidRPr="00F9613F">
        <w:t xml:space="preserve"> </w:t>
      </w:r>
      <w:r w:rsidR="00D23C00" w:rsidRPr="00F9613F">
        <w:rPr>
          <w:color w:val="000000"/>
        </w:rPr>
        <w:t>Togo</w:t>
      </w:r>
      <w:r w:rsidR="00D23C00" w:rsidRPr="00F9613F">
        <w:t xml:space="preserve"> (2) —soit 42 participants au total</w:t>
      </w:r>
      <w:r w:rsidR="00427DD4" w:rsidRPr="00F9613F">
        <w:t>.</w:t>
      </w:r>
    </w:p>
    <w:p w:rsidR="002F7870" w:rsidRPr="002F7870" w:rsidRDefault="002F7870">
      <w:pPr>
        <w:rPr>
          <w:sz w:val="18"/>
        </w:rPr>
      </w:pPr>
      <w:r w:rsidRPr="002F7870">
        <w:rPr>
          <w:sz w:val="18"/>
        </w:rPr>
        <w:t>NB.  Le présent CR a été rédigé par le secrétariat du GCAF</w:t>
      </w:r>
      <w:r w:rsidR="009362BD">
        <w:rPr>
          <w:sz w:val="18"/>
        </w:rPr>
        <w:t xml:space="preserve">.  Toutes </w:t>
      </w:r>
      <w:r w:rsidRPr="002F7870">
        <w:rPr>
          <w:sz w:val="18"/>
        </w:rPr>
        <w:t xml:space="preserve">erreurs </w:t>
      </w:r>
      <w:r w:rsidR="009362BD">
        <w:rPr>
          <w:sz w:val="18"/>
        </w:rPr>
        <w:t xml:space="preserve">ou </w:t>
      </w:r>
      <w:r w:rsidRPr="002F7870">
        <w:rPr>
          <w:sz w:val="18"/>
        </w:rPr>
        <w:t xml:space="preserve">omissions seront rectifiées </w:t>
      </w:r>
      <w:r w:rsidR="009362BD">
        <w:rPr>
          <w:sz w:val="18"/>
        </w:rPr>
        <w:t xml:space="preserve">aussitôt </w:t>
      </w:r>
      <w:r w:rsidRPr="002F7870">
        <w:rPr>
          <w:sz w:val="18"/>
        </w:rPr>
        <w:t>qu’elles seront signalées.</w:t>
      </w:r>
    </w:p>
    <w:p w:rsidR="00F9613F" w:rsidRPr="00AF0B3A" w:rsidRDefault="00D93D2F" w:rsidP="00386BDE">
      <w:pPr>
        <w:tabs>
          <w:tab w:val="left" w:pos="426"/>
          <w:tab w:val="left" w:pos="765"/>
        </w:tabs>
        <w:rPr>
          <w:sz w:val="20"/>
        </w:rPr>
      </w:pPr>
      <w:r w:rsidRPr="00AF0B3A">
        <w:rPr>
          <w:sz w:val="20"/>
        </w:rPr>
        <w:t>Ce CR reprend l</w:t>
      </w:r>
      <w:r w:rsidR="00D23C00" w:rsidRPr="00AF0B3A">
        <w:rPr>
          <w:sz w:val="20"/>
        </w:rPr>
        <w:t>es thèmes suivants</w:t>
      </w:r>
      <w:r w:rsidRPr="00AF0B3A">
        <w:rPr>
          <w:sz w:val="20"/>
        </w:rPr>
        <w:t xml:space="preserve">, </w:t>
      </w:r>
      <w:r w:rsidR="00D23C00" w:rsidRPr="00AF0B3A">
        <w:rPr>
          <w:sz w:val="20"/>
        </w:rPr>
        <w:t xml:space="preserve">abordés </w:t>
      </w:r>
      <w:r w:rsidR="00F17242" w:rsidRPr="00AF0B3A">
        <w:rPr>
          <w:sz w:val="20"/>
        </w:rPr>
        <w:t xml:space="preserve">lors </w:t>
      </w:r>
      <w:r w:rsidR="00D23C00" w:rsidRPr="00AF0B3A">
        <w:rPr>
          <w:sz w:val="20"/>
        </w:rPr>
        <w:t>de la réunion :</w:t>
      </w:r>
      <w:r w:rsidR="00F17242" w:rsidRPr="00AF0B3A">
        <w:rPr>
          <w:sz w:val="20"/>
        </w:rPr>
        <w:br/>
        <w:t xml:space="preserve">(1) </w:t>
      </w:r>
      <w:r w:rsidR="00332AF6">
        <w:rPr>
          <w:sz w:val="20"/>
        </w:rPr>
        <w:tab/>
      </w:r>
      <w:r w:rsidR="00F17242" w:rsidRPr="00AF0B3A">
        <w:rPr>
          <w:sz w:val="20"/>
        </w:rPr>
        <w:t>Feuille de route de l’AICA</w:t>
      </w:r>
      <w:r w:rsidR="00F17242" w:rsidRPr="00AF0B3A">
        <w:rPr>
          <w:sz w:val="20"/>
        </w:rPr>
        <w:br/>
        <w:t xml:space="preserve">(2) </w:t>
      </w:r>
      <w:r w:rsidR="00332AF6">
        <w:rPr>
          <w:sz w:val="20"/>
        </w:rPr>
        <w:tab/>
      </w:r>
      <w:r w:rsidR="00F17242" w:rsidRPr="00AF0B3A">
        <w:rPr>
          <w:sz w:val="20"/>
        </w:rPr>
        <w:t>Soutien de l’AICA aux MÉÉD</w:t>
      </w:r>
      <w:r w:rsidR="00F17242" w:rsidRPr="00AF0B3A">
        <w:rPr>
          <w:sz w:val="20"/>
        </w:rPr>
        <w:br/>
        <w:t xml:space="preserve">(3) </w:t>
      </w:r>
      <w:r w:rsidR="00332AF6">
        <w:rPr>
          <w:sz w:val="20"/>
        </w:rPr>
        <w:tab/>
      </w:r>
      <w:r w:rsidR="00332AF6" w:rsidRPr="00AF0B3A">
        <w:rPr>
          <w:sz w:val="20"/>
        </w:rPr>
        <w:t xml:space="preserve">Participation </w:t>
      </w:r>
      <w:r w:rsidR="00F17242" w:rsidRPr="00AF0B3A">
        <w:rPr>
          <w:sz w:val="20"/>
        </w:rPr>
        <w:t>des membres GCAF à l’exercice AICA de Surveillance Globale du Secteur</w:t>
      </w:r>
      <w:r w:rsidR="009362BD">
        <w:rPr>
          <w:sz w:val="20"/>
        </w:rPr>
        <w:t xml:space="preserve"> (SGS) de l’assurance</w:t>
      </w:r>
      <w:r w:rsidR="00F17242" w:rsidRPr="00AF0B3A">
        <w:rPr>
          <w:sz w:val="20"/>
        </w:rPr>
        <w:br/>
        <w:t xml:space="preserve">(4) </w:t>
      </w:r>
      <w:r w:rsidR="00332AF6">
        <w:rPr>
          <w:sz w:val="20"/>
        </w:rPr>
        <w:tab/>
      </w:r>
      <w:r w:rsidR="00F17242" w:rsidRPr="00AF0B3A">
        <w:rPr>
          <w:sz w:val="20"/>
        </w:rPr>
        <w:t>Brève introduction au contrôle basé sur les risques</w:t>
      </w:r>
      <w:r w:rsidR="00F17242" w:rsidRPr="00AF0B3A">
        <w:rPr>
          <w:sz w:val="20"/>
        </w:rPr>
        <w:br/>
        <w:t xml:space="preserve">(5) </w:t>
      </w:r>
      <w:r w:rsidR="00332AF6">
        <w:rPr>
          <w:sz w:val="20"/>
        </w:rPr>
        <w:tab/>
      </w:r>
      <w:r w:rsidR="00F17242" w:rsidRPr="00AF0B3A">
        <w:rPr>
          <w:sz w:val="20"/>
        </w:rPr>
        <w:t xml:space="preserve">Atelier </w:t>
      </w:r>
      <w:r w:rsidR="006A42A0" w:rsidRPr="006A42A0">
        <w:rPr>
          <w:sz w:val="20"/>
        </w:rPr>
        <w:t>« </w:t>
      </w:r>
      <w:r w:rsidR="00F17242" w:rsidRPr="006A42A0">
        <w:rPr>
          <w:sz w:val="20"/>
        </w:rPr>
        <w:t>Pourquoi une solvabilité basée sur les risques (SBR) ?</w:t>
      </w:r>
      <w:r w:rsidR="006A42A0" w:rsidRPr="006A42A0">
        <w:rPr>
          <w:sz w:val="20"/>
        </w:rPr>
        <w:t> »</w:t>
      </w:r>
      <w:r w:rsidR="00F17242" w:rsidRPr="00AF0B3A">
        <w:rPr>
          <w:sz w:val="20"/>
        </w:rPr>
        <w:t xml:space="preserve">  </w:t>
      </w:r>
      <w:r w:rsidR="00F17242" w:rsidRPr="00AF0B3A">
        <w:rPr>
          <w:sz w:val="20"/>
        </w:rPr>
        <w:br/>
        <w:t xml:space="preserve">(6) </w:t>
      </w:r>
      <w:r w:rsidR="00332AF6">
        <w:rPr>
          <w:sz w:val="20"/>
        </w:rPr>
        <w:tab/>
      </w:r>
      <w:r w:rsidR="00F17242" w:rsidRPr="00AF0B3A">
        <w:rPr>
          <w:sz w:val="20"/>
        </w:rPr>
        <w:t>La SBR au Maroc</w:t>
      </w:r>
      <w:r w:rsidR="00F17242" w:rsidRPr="00AF0B3A">
        <w:rPr>
          <w:sz w:val="20"/>
        </w:rPr>
        <w:br/>
        <w:t xml:space="preserve">(7) </w:t>
      </w:r>
      <w:r w:rsidR="00332AF6">
        <w:rPr>
          <w:sz w:val="20"/>
        </w:rPr>
        <w:tab/>
      </w:r>
      <w:r w:rsidR="00F17242" w:rsidRPr="00AF0B3A">
        <w:rPr>
          <w:sz w:val="20"/>
        </w:rPr>
        <w:t>La SBR (SST) en Suisse</w:t>
      </w:r>
      <w:r w:rsidR="00F17242" w:rsidRPr="00AF0B3A">
        <w:rPr>
          <w:sz w:val="20"/>
        </w:rPr>
        <w:br/>
        <w:t xml:space="preserve">(8) </w:t>
      </w:r>
      <w:r w:rsidR="00332AF6">
        <w:rPr>
          <w:sz w:val="20"/>
        </w:rPr>
        <w:tab/>
      </w:r>
      <w:r w:rsidR="00F17242" w:rsidRPr="00AF0B3A">
        <w:rPr>
          <w:sz w:val="20"/>
        </w:rPr>
        <w:t>La SBR (S2) en France</w:t>
      </w:r>
      <w:r w:rsidR="00F17242" w:rsidRPr="00AF0B3A">
        <w:rPr>
          <w:sz w:val="20"/>
        </w:rPr>
        <w:br/>
        <w:t xml:space="preserve">(9) </w:t>
      </w:r>
      <w:r w:rsidR="00332AF6">
        <w:rPr>
          <w:sz w:val="20"/>
        </w:rPr>
        <w:tab/>
      </w:r>
      <w:r w:rsidR="00F17242" w:rsidRPr="00AF0B3A">
        <w:rPr>
          <w:sz w:val="20"/>
        </w:rPr>
        <w:t>La SBR (ICS) à l’AICA</w:t>
      </w:r>
      <w:r w:rsidR="00F17242" w:rsidRPr="00AF0B3A">
        <w:rPr>
          <w:sz w:val="20"/>
        </w:rPr>
        <w:br/>
        <w:t xml:space="preserve">(10) </w:t>
      </w:r>
      <w:r w:rsidR="00332AF6">
        <w:rPr>
          <w:sz w:val="20"/>
        </w:rPr>
        <w:tab/>
      </w:r>
      <w:r w:rsidR="00F17242" w:rsidRPr="00AF0B3A">
        <w:rPr>
          <w:sz w:val="20"/>
        </w:rPr>
        <w:t>La numérisation de l’assurance</w:t>
      </w:r>
      <w:r w:rsidR="00F17242" w:rsidRPr="00AF0B3A">
        <w:rPr>
          <w:sz w:val="20"/>
        </w:rPr>
        <w:br/>
      </w:r>
      <w:r w:rsidR="00462612" w:rsidRPr="00AF0B3A">
        <w:rPr>
          <w:sz w:val="20"/>
        </w:rPr>
        <w:t xml:space="preserve"> </w:t>
      </w:r>
      <w:r w:rsidR="00462612" w:rsidRPr="00AF0B3A">
        <w:rPr>
          <w:sz w:val="20"/>
        </w:rPr>
        <w:tab/>
      </w:r>
      <w:r w:rsidR="00F17242" w:rsidRPr="00AF0B3A">
        <w:rPr>
          <w:sz w:val="20"/>
        </w:rPr>
        <w:t xml:space="preserve">(i) </w:t>
      </w:r>
      <w:r w:rsidR="00386BDE">
        <w:rPr>
          <w:sz w:val="20"/>
        </w:rPr>
        <w:tab/>
      </w:r>
      <w:r w:rsidR="00F17242" w:rsidRPr="00AF0B3A">
        <w:rPr>
          <w:sz w:val="20"/>
        </w:rPr>
        <w:t>Le rôle de l’IA au Québec,</w:t>
      </w:r>
      <w:r w:rsidR="00F17242" w:rsidRPr="00AF0B3A">
        <w:rPr>
          <w:sz w:val="20"/>
        </w:rPr>
        <w:br/>
      </w:r>
      <w:r w:rsidR="00462612" w:rsidRPr="00AF0B3A">
        <w:rPr>
          <w:sz w:val="20"/>
        </w:rPr>
        <w:t xml:space="preserve"> </w:t>
      </w:r>
      <w:r w:rsidR="00462612" w:rsidRPr="00AF0B3A">
        <w:rPr>
          <w:sz w:val="20"/>
        </w:rPr>
        <w:tab/>
      </w:r>
      <w:r w:rsidR="00F17242" w:rsidRPr="00AF0B3A">
        <w:rPr>
          <w:sz w:val="20"/>
        </w:rPr>
        <w:t xml:space="preserve">(ii) </w:t>
      </w:r>
      <w:r w:rsidR="00386BDE">
        <w:rPr>
          <w:sz w:val="20"/>
        </w:rPr>
        <w:tab/>
      </w:r>
      <w:r w:rsidR="00F17242" w:rsidRPr="00AF0B3A">
        <w:rPr>
          <w:sz w:val="20"/>
        </w:rPr>
        <w:t>Évolution du cadre réglementaire des Assurtechs en France,</w:t>
      </w:r>
      <w:r w:rsidR="00F17242" w:rsidRPr="00AF0B3A">
        <w:rPr>
          <w:sz w:val="20"/>
        </w:rPr>
        <w:br/>
      </w:r>
      <w:r w:rsidR="00462612" w:rsidRPr="00AF0B3A">
        <w:rPr>
          <w:sz w:val="20"/>
        </w:rPr>
        <w:t xml:space="preserve"> </w:t>
      </w:r>
      <w:r w:rsidR="00462612" w:rsidRPr="00AF0B3A">
        <w:rPr>
          <w:sz w:val="20"/>
        </w:rPr>
        <w:tab/>
      </w:r>
      <w:r w:rsidR="00386BDE">
        <w:rPr>
          <w:sz w:val="20"/>
        </w:rPr>
        <w:t>(iii)</w:t>
      </w:r>
      <w:r w:rsidR="00386BDE">
        <w:rPr>
          <w:sz w:val="20"/>
        </w:rPr>
        <w:tab/>
      </w:r>
      <w:r w:rsidR="00E85D1E" w:rsidRPr="00AF0B3A">
        <w:rPr>
          <w:sz w:val="20"/>
        </w:rPr>
        <w:t xml:space="preserve">L’assurance inclusive et la numérisation </w:t>
      </w:r>
      <w:r w:rsidR="00F17242" w:rsidRPr="00AF0B3A">
        <w:rPr>
          <w:sz w:val="20"/>
        </w:rPr>
        <w:br/>
        <w:t>(1</w:t>
      </w:r>
      <w:r w:rsidR="00E85D1E" w:rsidRPr="00AF0B3A">
        <w:rPr>
          <w:sz w:val="20"/>
        </w:rPr>
        <w:t>1</w:t>
      </w:r>
      <w:r w:rsidR="00F17242" w:rsidRPr="00AF0B3A">
        <w:rPr>
          <w:sz w:val="20"/>
        </w:rPr>
        <w:t xml:space="preserve">) </w:t>
      </w:r>
      <w:r w:rsidR="00332AF6">
        <w:rPr>
          <w:sz w:val="20"/>
        </w:rPr>
        <w:tab/>
      </w:r>
      <w:r w:rsidR="00F17242" w:rsidRPr="00AF0B3A">
        <w:rPr>
          <w:sz w:val="20"/>
        </w:rPr>
        <w:t>Table ronde sur la numérisation de l’assurance</w:t>
      </w:r>
      <w:r w:rsidR="00F17242" w:rsidRPr="00AF0B3A">
        <w:rPr>
          <w:sz w:val="20"/>
        </w:rPr>
        <w:br/>
      </w:r>
      <w:r w:rsidR="00462612" w:rsidRPr="00AF0B3A">
        <w:rPr>
          <w:sz w:val="20"/>
        </w:rPr>
        <w:tab/>
      </w:r>
      <w:r w:rsidR="00F17242" w:rsidRPr="00AF0B3A">
        <w:rPr>
          <w:sz w:val="20"/>
        </w:rPr>
        <w:t>(i)</w:t>
      </w:r>
      <w:r w:rsidR="00386BDE">
        <w:rPr>
          <w:sz w:val="20"/>
        </w:rPr>
        <w:tab/>
      </w:r>
      <w:r w:rsidR="00F17242" w:rsidRPr="00AF0B3A">
        <w:rPr>
          <w:sz w:val="20"/>
        </w:rPr>
        <w:t>en RDC,</w:t>
      </w:r>
      <w:r w:rsidR="00F17242" w:rsidRPr="00AF0B3A">
        <w:rPr>
          <w:sz w:val="20"/>
        </w:rPr>
        <w:br/>
      </w:r>
      <w:r w:rsidR="00462612" w:rsidRPr="00AF0B3A">
        <w:rPr>
          <w:sz w:val="20"/>
        </w:rPr>
        <w:tab/>
      </w:r>
      <w:r w:rsidR="00F17242" w:rsidRPr="00AF0B3A">
        <w:rPr>
          <w:sz w:val="20"/>
        </w:rPr>
        <w:t>(ii)</w:t>
      </w:r>
      <w:r w:rsidR="00386BDE">
        <w:rPr>
          <w:sz w:val="20"/>
        </w:rPr>
        <w:tab/>
      </w:r>
      <w:r w:rsidR="00F17242" w:rsidRPr="00AF0B3A">
        <w:rPr>
          <w:sz w:val="20"/>
        </w:rPr>
        <w:t>en Côte d’Ivoire,</w:t>
      </w:r>
      <w:r w:rsidR="00F17242" w:rsidRPr="00AF0B3A">
        <w:rPr>
          <w:sz w:val="20"/>
        </w:rPr>
        <w:br/>
      </w:r>
      <w:r w:rsidR="00462612" w:rsidRPr="00AF0B3A">
        <w:rPr>
          <w:sz w:val="20"/>
        </w:rPr>
        <w:tab/>
      </w:r>
      <w:r w:rsidR="00F17242" w:rsidRPr="00AF0B3A">
        <w:rPr>
          <w:sz w:val="20"/>
        </w:rPr>
        <w:t>(iii)</w:t>
      </w:r>
      <w:r w:rsidR="00386BDE">
        <w:rPr>
          <w:sz w:val="20"/>
        </w:rPr>
        <w:tab/>
      </w:r>
      <w:r w:rsidR="00F17242" w:rsidRPr="00AF0B3A">
        <w:rPr>
          <w:sz w:val="20"/>
        </w:rPr>
        <w:t>au Sénégal</w:t>
      </w:r>
      <w:r w:rsidR="00F17242" w:rsidRPr="00AF0B3A">
        <w:rPr>
          <w:sz w:val="20"/>
        </w:rPr>
        <w:br/>
        <w:t>(1</w:t>
      </w:r>
      <w:r w:rsidR="00E85D1E" w:rsidRPr="00AF0B3A">
        <w:rPr>
          <w:sz w:val="20"/>
        </w:rPr>
        <w:t>2</w:t>
      </w:r>
      <w:r w:rsidR="00F17242" w:rsidRPr="00AF0B3A">
        <w:rPr>
          <w:sz w:val="20"/>
        </w:rPr>
        <w:t>)</w:t>
      </w:r>
      <w:r w:rsidR="00E85D1E" w:rsidRPr="00AF0B3A">
        <w:rPr>
          <w:sz w:val="20"/>
        </w:rPr>
        <w:t xml:space="preserve"> </w:t>
      </w:r>
      <w:r w:rsidR="00332AF6">
        <w:rPr>
          <w:sz w:val="20"/>
        </w:rPr>
        <w:tab/>
      </w:r>
      <w:r w:rsidR="007D2493" w:rsidRPr="00AF0B3A">
        <w:rPr>
          <w:sz w:val="20"/>
        </w:rPr>
        <w:t>Rencontre statutaire</w:t>
      </w:r>
      <w:r w:rsidR="009362BD">
        <w:rPr>
          <w:sz w:val="20"/>
        </w:rPr>
        <w:t xml:space="preserve"> du GCAF</w:t>
      </w:r>
      <w:r w:rsidR="007D2493" w:rsidRPr="00AF0B3A">
        <w:rPr>
          <w:sz w:val="20"/>
        </w:rPr>
        <w:br/>
        <w:t xml:space="preserve">(13) </w:t>
      </w:r>
      <w:r w:rsidR="00332AF6">
        <w:rPr>
          <w:sz w:val="20"/>
        </w:rPr>
        <w:tab/>
      </w:r>
      <w:r w:rsidR="00E85D1E" w:rsidRPr="00AF0B3A">
        <w:rPr>
          <w:sz w:val="20"/>
        </w:rPr>
        <w:t xml:space="preserve">Travaux de l’AEAPP (EIOPA) </w:t>
      </w:r>
      <w:r w:rsidR="00462612" w:rsidRPr="00AF0B3A">
        <w:rPr>
          <w:sz w:val="20"/>
        </w:rPr>
        <w:t>de l’UE</w:t>
      </w:r>
      <w:r w:rsidR="009362BD">
        <w:rPr>
          <w:sz w:val="20"/>
        </w:rPr>
        <w:t xml:space="preserve"> sur les écarts ou </w:t>
      </w:r>
      <w:r w:rsidR="00E85D1E" w:rsidRPr="00AF0B3A">
        <w:rPr>
          <w:sz w:val="20"/>
        </w:rPr>
        <w:t>déficits de protection</w:t>
      </w:r>
      <w:r w:rsidR="00E85D1E" w:rsidRPr="00AF0B3A">
        <w:rPr>
          <w:sz w:val="20"/>
        </w:rPr>
        <w:br/>
        <w:t>(1</w:t>
      </w:r>
      <w:r w:rsidR="007D2493" w:rsidRPr="00AF0B3A">
        <w:rPr>
          <w:sz w:val="20"/>
        </w:rPr>
        <w:t>4</w:t>
      </w:r>
      <w:r w:rsidR="00E85D1E" w:rsidRPr="00AF0B3A">
        <w:rPr>
          <w:sz w:val="20"/>
        </w:rPr>
        <w:t xml:space="preserve">) </w:t>
      </w:r>
      <w:r w:rsidR="00332AF6">
        <w:rPr>
          <w:sz w:val="20"/>
        </w:rPr>
        <w:tab/>
      </w:r>
      <w:r w:rsidR="00E85D1E" w:rsidRPr="00AF0B3A">
        <w:rPr>
          <w:sz w:val="20"/>
        </w:rPr>
        <w:t>L’AICA et le rôle des contrôleurs pour combler ou gére</w:t>
      </w:r>
      <w:r w:rsidR="007D2493" w:rsidRPr="00AF0B3A">
        <w:rPr>
          <w:sz w:val="20"/>
        </w:rPr>
        <w:t>r les déficits de protection</w:t>
      </w:r>
      <w:r w:rsidR="007D2493" w:rsidRPr="00AF0B3A">
        <w:rPr>
          <w:sz w:val="20"/>
        </w:rPr>
        <w:br/>
        <w:t>(15</w:t>
      </w:r>
      <w:r w:rsidR="00E85D1E" w:rsidRPr="00AF0B3A">
        <w:rPr>
          <w:sz w:val="20"/>
        </w:rPr>
        <w:t xml:space="preserve">) </w:t>
      </w:r>
      <w:r w:rsidR="00332AF6">
        <w:rPr>
          <w:sz w:val="20"/>
        </w:rPr>
        <w:tab/>
      </w:r>
      <w:r w:rsidR="007D2493" w:rsidRPr="00AF0B3A">
        <w:rPr>
          <w:sz w:val="20"/>
        </w:rPr>
        <w:t>Terminologie</w:t>
      </w:r>
      <w:r w:rsidR="007D2493" w:rsidRPr="00AF0B3A">
        <w:rPr>
          <w:sz w:val="20"/>
        </w:rPr>
        <w:br/>
        <w:t xml:space="preserve">(16) </w:t>
      </w:r>
      <w:r w:rsidR="00332AF6">
        <w:rPr>
          <w:sz w:val="20"/>
        </w:rPr>
        <w:tab/>
      </w:r>
      <w:r w:rsidR="00E85D1E" w:rsidRPr="00AF0B3A">
        <w:rPr>
          <w:sz w:val="20"/>
        </w:rPr>
        <w:t>Conclusion</w:t>
      </w:r>
      <w:r w:rsidR="00F17242" w:rsidRPr="00AF0B3A">
        <w:rPr>
          <w:sz w:val="20"/>
        </w:rPr>
        <w:br/>
      </w:r>
    </w:p>
    <w:p w:rsidR="00F9613F" w:rsidRPr="00AF0B3A" w:rsidRDefault="00332AF6" w:rsidP="00462612">
      <w:pPr>
        <w:rPr>
          <w:sz w:val="20"/>
        </w:rPr>
      </w:pPr>
      <w:r>
        <w:rPr>
          <w:sz w:val="20"/>
        </w:rPr>
        <w:t xml:space="preserve">En </w:t>
      </w:r>
      <w:r w:rsidR="006A42A0">
        <w:rPr>
          <w:sz w:val="20"/>
        </w:rPr>
        <w:t xml:space="preserve">cohérence avec </w:t>
      </w:r>
      <w:r w:rsidR="00F9613F" w:rsidRPr="00AF0B3A">
        <w:rPr>
          <w:sz w:val="20"/>
        </w:rPr>
        <w:t xml:space="preserve">la terminologie AICA, le mot « contrôleur » </w:t>
      </w:r>
      <w:r>
        <w:rPr>
          <w:sz w:val="20"/>
        </w:rPr>
        <w:t xml:space="preserve">dans ce CR </w:t>
      </w:r>
      <w:r w:rsidR="00F9613F" w:rsidRPr="00AF0B3A">
        <w:rPr>
          <w:sz w:val="20"/>
        </w:rPr>
        <w:t>désigne</w:t>
      </w:r>
      <w:r w:rsidR="00A71181">
        <w:rPr>
          <w:sz w:val="20"/>
        </w:rPr>
        <w:t xml:space="preserve"> </w:t>
      </w:r>
      <w:r w:rsidR="00181D34">
        <w:rPr>
          <w:sz w:val="20"/>
        </w:rPr>
        <w:t>une personne physique chargée de contrôler un assureur</w:t>
      </w:r>
      <w:r w:rsidR="00A71181">
        <w:rPr>
          <w:sz w:val="20"/>
        </w:rPr>
        <w:t xml:space="preserve"> </w:t>
      </w:r>
      <w:r w:rsidR="00A71181">
        <w:rPr>
          <w:b/>
          <w:sz w:val="20"/>
        </w:rPr>
        <w:t>ou</w:t>
      </w:r>
      <w:r w:rsidR="00A71181">
        <w:rPr>
          <w:sz w:val="20"/>
        </w:rPr>
        <w:t xml:space="preserve"> </w:t>
      </w:r>
      <w:r w:rsidR="00F9613F" w:rsidRPr="00AF0B3A">
        <w:rPr>
          <w:sz w:val="20"/>
        </w:rPr>
        <w:t xml:space="preserve">une autorité de contrôle.  </w:t>
      </w:r>
      <w:r w:rsidR="00181D34">
        <w:rPr>
          <w:sz w:val="20"/>
        </w:rPr>
        <w:br/>
      </w:r>
      <w:r w:rsidR="006A42A0">
        <w:rPr>
          <w:sz w:val="20"/>
        </w:rPr>
        <w:t xml:space="preserve">Ici et là, </w:t>
      </w:r>
      <w:r w:rsidR="00F9613F" w:rsidRPr="00AF0B3A">
        <w:rPr>
          <w:sz w:val="20"/>
        </w:rPr>
        <w:t xml:space="preserve">des références </w:t>
      </w:r>
      <w:r w:rsidR="006A42A0">
        <w:rPr>
          <w:sz w:val="20"/>
        </w:rPr>
        <w:t>« </w:t>
      </w:r>
      <w:r w:rsidR="009362BD" w:rsidRPr="00AF0B3A">
        <w:rPr>
          <w:sz w:val="20"/>
        </w:rPr>
        <w:t>d</w:t>
      </w:r>
      <w:r w:rsidR="009362BD" w:rsidRPr="00AF0B3A">
        <w:rPr>
          <w:i/>
          <w:sz w:val="20"/>
        </w:rPr>
        <w:t>x</w:t>
      </w:r>
      <w:r w:rsidR="006A42A0">
        <w:rPr>
          <w:sz w:val="20"/>
        </w:rPr>
        <w:t> »</w:t>
      </w:r>
      <w:r w:rsidR="009362BD">
        <w:rPr>
          <w:sz w:val="20"/>
        </w:rPr>
        <w:t xml:space="preserve"> </w:t>
      </w:r>
      <w:r w:rsidR="00181D34">
        <w:rPr>
          <w:sz w:val="20"/>
        </w:rPr>
        <w:t xml:space="preserve">renvoient à </w:t>
      </w:r>
      <w:r w:rsidR="009362BD" w:rsidRPr="00AF0B3A">
        <w:rPr>
          <w:sz w:val="20"/>
        </w:rPr>
        <w:t xml:space="preserve">la diapositive n° </w:t>
      </w:r>
      <w:r w:rsidR="009362BD" w:rsidRPr="00AF0B3A">
        <w:rPr>
          <w:i/>
          <w:sz w:val="20"/>
        </w:rPr>
        <w:t xml:space="preserve">x </w:t>
      </w:r>
      <w:r w:rsidR="009362BD" w:rsidRPr="00AF0B3A">
        <w:rPr>
          <w:sz w:val="20"/>
        </w:rPr>
        <w:t xml:space="preserve">de la présentation </w:t>
      </w:r>
      <w:r w:rsidR="009362BD">
        <w:rPr>
          <w:sz w:val="20"/>
        </w:rPr>
        <w:t xml:space="preserve">de l’intervenant.  </w:t>
      </w:r>
      <w:r w:rsidR="00181D34">
        <w:rPr>
          <w:sz w:val="20"/>
        </w:rPr>
        <w:br/>
      </w:r>
      <w:r w:rsidR="009362BD">
        <w:rPr>
          <w:sz w:val="20"/>
        </w:rPr>
        <w:t>Les présentations sont disponibles</w:t>
      </w:r>
      <w:r w:rsidR="006A42A0">
        <w:rPr>
          <w:sz w:val="20"/>
        </w:rPr>
        <w:t xml:space="preserve"> sur le site du GCAF,</w:t>
      </w:r>
      <w:r w:rsidR="009362BD">
        <w:rPr>
          <w:sz w:val="20"/>
        </w:rPr>
        <w:t xml:space="preserve"> ici</w:t>
      </w:r>
      <w:r w:rsidR="006A42A0">
        <w:rPr>
          <w:sz w:val="20"/>
        </w:rPr>
        <w:t> :</w:t>
      </w:r>
      <w:r w:rsidR="009362BD">
        <w:rPr>
          <w:sz w:val="20"/>
        </w:rPr>
        <w:t xml:space="preserve"> </w:t>
      </w:r>
      <w:hyperlink r:id="rId7" w:history="1">
        <w:r w:rsidR="009362BD" w:rsidRPr="009362BD">
          <w:rPr>
            <w:rStyle w:val="Lienhypertexte"/>
            <w:sz w:val="10"/>
          </w:rPr>
          <w:t>Séminaire GCAF 30 janvier – 1er février 2024, Paris (France) | GCAF (banque-france.fr)</w:t>
        </w:r>
      </w:hyperlink>
      <w:r w:rsidR="00AF0B3A" w:rsidRPr="00AF0B3A">
        <w:rPr>
          <w:sz w:val="20"/>
        </w:rPr>
        <w:t>.</w:t>
      </w:r>
      <w:r w:rsidR="00F9613F" w:rsidRPr="00AF0B3A">
        <w:rPr>
          <w:sz w:val="20"/>
        </w:rPr>
        <w:t xml:space="preserve"> </w:t>
      </w:r>
    </w:p>
    <w:p w:rsidR="00A033A4" w:rsidRDefault="006A42A0" w:rsidP="009362BD">
      <w:pPr>
        <w:pStyle w:val="Paragraphedeliste"/>
        <w:numPr>
          <w:ilvl w:val="0"/>
          <w:numId w:val="3"/>
        </w:numPr>
        <w:spacing w:before="360"/>
        <w:ind w:left="567" w:hanging="567"/>
      </w:pPr>
      <w:r>
        <w:t>Guillaume Scheffler (secrétariat AICA) présente l</w:t>
      </w:r>
      <w:r w:rsidR="00362179">
        <w:t xml:space="preserve">a </w:t>
      </w:r>
      <w:r w:rsidR="00D23C00" w:rsidRPr="00362179">
        <w:rPr>
          <w:i/>
        </w:rPr>
        <w:t>Feuille de route de l’AICA</w:t>
      </w:r>
      <w:r>
        <w:t xml:space="preserve">, et </w:t>
      </w:r>
      <w:r w:rsidR="00362179">
        <w:t xml:space="preserve">rappelle </w:t>
      </w:r>
      <w:r w:rsidR="00A033A4">
        <w:t>ses principaux objectifs : surveiller la stabilité et les risques financiers</w:t>
      </w:r>
      <w:r w:rsidR="00462612">
        <w:t> ;</w:t>
      </w:r>
      <w:r w:rsidR="00A033A4">
        <w:t xml:space="preserve"> répondre aux risques et transformations du secteur</w:t>
      </w:r>
      <w:r w:rsidR="00462612">
        <w:t> ;</w:t>
      </w:r>
      <w:r w:rsidR="00A033A4">
        <w:t xml:space="preserve"> développer les standards AICA, aider les Membres à mettre en œuvre ces standards et évaluer ces mises en oeuvres</w:t>
      </w:r>
      <w:r w:rsidR="00D23C00">
        <w:t xml:space="preserve">.  </w:t>
      </w:r>
      <w:r w:rsidR="00362179">
        <w:t xml:space="preserve">Les </w:t>
      </w:r>
      <w:r w:rsidR="00A033A4">
        <w:t>thèmes stratégiques de l’AICA</w:t>
      </w:r>
      <w:r w:rsidR="00362179">
        <w:t xml:space="preserve"> sont </w:t>
      </w:r>
      <w:r w:rsidR="00362179">
        <w:lastRenderedPageBreak/>
        <w:t>aussi présentés</w:t>
      </w:r>
      <w:r w:rsidR="00A033A4">
        <w:t> : le risque climatique</w:t>
      </w:r>
      <w:r w:rsidR="00462612">
        <w:t> ;</w:t>
      </w:r>
      <w:r w:rsidR="00A033A4">
        <w:t xml:space="preserve"> l’inclusion financière</w:t>
      </w:r>
      <w:r w:rsidR="00462612">
        <w:t> ;</w:t>
      </w:r>
      <w:r w:rsidR="00A033A4">
        <w:t xml:space="preserve"> la Diversité, </w:t>
      </w:r>
      <w:r w:rsidR="00462612">
        <w:t xml:space="preserve">Égalité </w:t>
      </w:r>
      <w:r w:rsidR="00A033A4">
        <w:t xml:space="preserve">&amp; </w:t>
      </w:r>
      <w:r w:rsidR="00462612">
        <w:t xml:space="preserve">Inclusion </w:t>
      </w:r>
      <w:r w:rsidR="00A033A4">
        <w:t>(DEI)</w:t>
      </w:r>
      <w:r w:rsidR="00462612">
        <w:t> ;</w:t>
      </w:r>
      <w:r w:rsidR="00A033A4">
        <w:t xml:space="preserve"> la transformation numérique</w:t>
      </w:r>
      <w:r w:rsidR="00462612">
        <w:t> ;</w:t>
      </w:r>
      <w:r w:rsidR="00A033A4">
        <w:t xml:space="preserve"> la rés</w:t>
      </w:r>
      <w:r w:rsidR="00462612">
        <w:t>i</w:t>
      </w:r>
      <w:r w:rsidR="00A033A4">
        <w:t>lience opérationnelle et le risque cyber</w:t>
      </w:r>
      <w:r w:rsidR="00362179">
        <w:t>.</w:t>
      </w:r>
    </w:p>
    <w:p w:rsidR="00EE3EB1" w:rsidRDefault="00EE3EB1" w:rsidP="00EE3EB1">
      <w:pPr>
        <w:pStyle w:val="Paragraphedeliste"/>
      </w:pPr>
    </w:p>
    <w:p w:rsidR="00462612" w:rsidRDefault="00A033A4" w:rsidP="00362179">
      <w:pPr>
        <w:pStyle w:val="Paragraphedeliste"/>
        <w:numPr>
          <w:ilvl w:val="0"/>
          <w:numId w:val="3"/>
        </w:numPr>
        <w:spacing w:before="360" w:after="0"/>
        <w:ind w:left="567" w:hanging="567"/>
      </w:pPr>
      <w:r>
        <w:t xml:space="preserve">Soutien </w:t>
      </w:r>
      <w:r w:rsidR="00CA563E">
        <w:t xml:space="preserve">de l’AICA aux MÉÉD —Marchés </w:t>
      </w:r>
      <w:r w:rsidR="00462612">
        <w:t xml:space="preserve">Émergents </w:t>
      </w:r>
      <w:r w:rsidR="00CA563E">
        <w:t xml:space="preserve">et </w:t>
      </w:r>
      <w:r w:rsidR="00462612">
        <w:t xml:space="preserve">Économies </w:t>
      </w:r>
      <w:r w:rsidR="00CA563E">
        <w:t xml:space="preserve">en </w:t>
      </w:r>
      <w:r w:rsidR="00462612">
        <w:t>Développement</w:t>
      </w:r>
      <w:r w:rsidR="00CA563E">
        <w:t>.  Siham Ramli (ACAPS, Pdte du GCAF)</w:t>
      </w:r>
    </w:p>
    <w:p w:rsidR="00462612" w:rsidRDefault="006A42A0" w:rsidP="006A42A0">
      <w:pPr>
        <w:pStyle w:val="Paragraphedeliste"/>
        <w:numPr>
          <w:ilvl w:val="0"/>
          <w:numId w:val="7"/>
        </w:numPr>
        <w:ind w:left="907" w:hanging="340"/>
      </w:pPr>
      <w:r>
        <w:t>p</w:t>
      </w:r>
      <w:r w:rsidR="00AF0B3A">
        <w:t xml:space="preserve">résente </w:t>
      </w:r>
      <w:r w:rsidR="00CA563E">
        <w:t xml:space="preserve">le contexte des </w:t>
      </w:r>
      <w:r w:rsidR="00462612">
        <w:t xml:space="preserve">MÉÉD : </w:t>
      </w:r>
      <w:r w:rsidR="00CA563E">
        <w:t>leur croissance prévue est supérieure à celle des marchés développés</w:t>
      </w:r>
      <w:r w:rsidR="00462612">
        <w:t> ;</w:t>
      </w:r>
      <w:r w:rsidR="00CA563E">
        <w:t xml:space="preserve"> les </w:t>
      </w:r>
      <w:r w:rsidR="00462612">
        <w:t xml:space="preserve">MÉÉD </w:t>
      </w:r>
      <w:r w:rsidR="00CA563E">
        <w:t xml:space="preserve">sont souvent des précurseurs des technologies et approches nouvelles —cf. l’assurance souscrite par téléphone portable, </w:t>
      </w:r>
    </w:p>
    <w:p w:rsidR="00D23C00" w:rsidRDefault="00CA563E" w:rsidP="006A42A0">
      <w:pPr>
        <w:pStyle w:val="Paragraphedeliste"/>
        <w:numPr>
          <w:ilvl w:val="0"/>
          <w:numId w:val="7"/>
        </w:numPr>
        <w:ind w:left="907" w:hanging="340"/>
      </w:pPr>
      <w:r>
        <w:t xml:space="preserve">décrit le soutien de l’AICA aux </w:t>
      </w:r>
      <w:r w:rsidR="00462612">
        <w:t>MÉÉD </w:t>
      </w:r>
      <w:r>
        <w:t xml:space="preserve">: </w:t>
      </w:r>
      <w:r w:rsidRPr="0065117D">
        <w:t>4</w:t>
      </w:r>
      <w:r w:rsidR="00362179">
        <w:t xml:space="preserve"> réunions virtuelles par an ;</w:t>
      </w:r>
      <w:r>
        <w:t xml:space="preserve"> forums</w:t>
      </w:r>
      <w:r w:rsidR="00362179">
        <w:t> ;</w:t>
      </w:r>
      <w:r>
        <w:t xml:space="preserve"> </w:t>
      </w:r>
      <w:r w:rsidR="00362179">
        <w:t xml:space="preserve">publications </w:t>
      </w:r>
      <w:r>
        <w:t>de documents d’appui.  Les forums incluent notamment un forum sur la LCBFT, un forum sur l’inclusion financière, un forum Fintech</w:t>
      </w:r>
      <w:r w:rsidR="006A42A0">
        <w:t>,</w:t>
      </w:r>
      <w:r>
        <w:t xml:space="preserve"> et un forum sur la mise en œuvre de la SBR —Solvabilité basée sur les risques—, ou, plus largement, du CBR —Contrôle basé sur les risques —</w:t>
      </w:r>
      <w:r w:rsidR="00362179">
        <w:t xml:space="preserve">en anglais </w:t>
      </w:r>
      <w:r>
        <w:t xml:space="preserve">RBSIF, </w:t>
      </w:r>
      <w:r>
        <w:rPr>
          <w:i/>
        </w:rPr>
        <w:t xml:space="preserve">Risk-based Solvency </w:t>
      </w:r>
      <w:r w:rsidR="00525194">
        <w:rPr>
          <w:i/>
        </w:rPr>
        <w:t xml:space="preserve">/ </w:t>
      </w:r>
      <w:r>
        <w:rPr>
          <w:i/>
        </w:rPr>
        <w:t>Supervision</w:t>
      </w:r>
      <w:r>
        <w:t xml:space="preserve"> </w:t>
      </w:r>
      <w:r>
        <w:rPr>
          <w:i/>
        </w:rPr>
        <w:t>Implementation Forum</w:t>
      </w:r>
      <w:r w:rsidR="00362179">
        <w:t xml:space="preserve"> (cf. ci-après, items 4 à 9 </w:t>
      </w:r>
      <w:r w:rsidR="008074B5">
        <w:t>du séminaire</w:t>
      </w:r>
      <w:r>
        <w:t>.</w:t>
      </w:r>
    </w:p>
    <w:p w:rsidR="009E6026" w:rsidRDefault="009E6026" w:rsidP="009E6026">
      <w:pPr>
        <w:pStyle w:val="Paragraphedeliste"/>
      </w:pPr>
    </w:p>
    <w:p w:rsidR="009E6026" w:rsidRDefault="00D11BB2" w:rsidP="009362BD">
      <w:pPr>
        <w:pStyle w:val="Paragraphedeliste"/>
        <w:numPr>
          <w:ilvl w:val="0"/>
          <w:numId w:val="3"/>
        </w:numPr>
        <w:spacing w:before="360"/>
        <w:ind w:left="567" w:hanging="567"/>
      </w:pPr>
      <w:r>
        <w:t>Participation</w:t>
      </w:r>
      <w:r w:rsidR="00362179">
        <w:t xml:space="preserve"> des membres </w:t>
      </w:r>
      <w:r w:rsidR="006A42A0">
        <w:t xml:space="preserve">du </w:t>
      </w:r>
      <w:r w:rsidR="00362179">
        <w:t>GCAF</w:t>
      </w:r>
      <w:r>
        <w:t xml:space="preserve"> à l’exercice Surveillance Globale du secteur —SWM, </w:t>
      </w:r>
      <w:r>
        <w:rPr>
          <w:i/>
        </w:rPr>
        <w:t>Sector-wide monitoring</w:t>
      </w:r>
      <w:r w:rsidR="00362179">
        <w:t>— de l’AICA</w:t>
      </w:r>
      <w:r>
        <w:t>.  François T</w:t>
      </w:r>
      <w:r w:rsidR="00E07FC3">
        <w:t>empé (ACPR, secrétaire du GCAF)</w:t>
      </w:r>
      <w:r w:rsidR="00525194">
        <w:t xml:space="preserve"> </w:t>
      </w:r>
      <w:r w:rsidR="00AF0B3A">
        <w:t xml:space="preserve">rappelle </w:t>
      </w:r>
      <w:r w:rsidR="00362179">
        <w:t xml:space="preserve">que cette participation avait déjà été encouragée à </w:t>
      </w:r>
      <w:r w:rsidR="00E07FC3">
        <w:t>la réunion virtuelle du GCAF du 17.03.2022</w:t>
      </w:r>
      <w:r w:rsidR="00362179">
        <w:t xml:space="preserve"> (voir ici : </w:t>
      </w:r>
      <w:hyperlink r:id="rId8" w:history="1">
        <w:r w:rsidR="00362179" w:rsidRPr="00362179">
          <w:rPr>
            <w:rStyle w:val="Lienhypertexte"/>
            <w:sz w:val="10"/>
          </w:rPr>
          <w:t>Téléconférence GCAF 17 mars 2022, 14h00 TU | GCAF (banque-france.fr)</w:t>
        </w:r>
      </w:hyperlink>
      <w:r w:rsidR="00362179">
        <w:t xml:space="preserve">, les présentations de l’ACAPS et de l’ACPR).  En </w:t>
      </w:r>
      <w:r w:rsidR="00E07FC3">
        <w:t>2021, 38 pays avaient participé, mais seulement 2 d</w:t>
      </w:r>
      <w:r w:rsidR="00525194">
        <w:t xml:space="preserve">’Afrique </w:t>
      </w:r>
      <w:r w:rsidR="00E07FC3">
        <w:t xml:space="preserve">(Afrique du Sud et Maroc). En 2023, 45 pays ont participé, mais toujours seulement 2 (les 2 mêmes) </w:t>
      </w:r>
      <w:r w:rsidR="006A42A0">
        <w:t>d’</w:t>
      </w:r>
      <w:r w:rsidR="00525194">
        <w:t>Afrique</w:t>
      </w:r>
      <w:r w:rsidR="00E07FC3">
        <w:t xml:space="preserve">. </w:t>
      </w:r>
      <w:r w:rsidR="00462612">
        <w:t>Or</w:t>
      </w:r>
      <w:r w:rsidR="004675F3">
        <w:t>, en dépit d</w:t>
      </w:r>
      <w:r w:rsidR="006A42A0">
        <w:t xml:space="preserve">e l’apparence </w:t>
      </w:r>
      <w:r w:rsidR="004675F3">
        <w:t>« intimidant</w:t>
      </w:r>
      <w:r w:rsidR="006A42A0">
        <w:t>e</w:t>
      </w:r>
      <w:r w:rsidR="004675F3">
        <w:t xml:space="preserve"> » des fichiers à remplir, une telle participation, qui ne suppose pas de répondre à </w:t>
      </w:r>
      <w:r w:rsidR="00362179">
        <w:t>la totalité du questionnaire</w:t>
      </w:r>
      <w:r w:rsidR="004675F3">
        <w:t>, est à la portée de tous : il s’agit par exemple d’indiquer le nombre des assureurs contrôl</w:t>
      </w:r>
      <w:r w:rsidR="008B2171">
        <w:t>és</w:t>
      </w:r>
      <w:r w:rsidR="004675F3">
        <w:t>, le total de leurs actifs et</w:t>
      </w:r>
      <w:r w:rsidR="008B2171">
        <w:t xml:space="preserve"> de leurs provisions techniques ;</w:t>
      </w:r>
      <w:r w:rsidR="004675F3">
        <w:t xml:space="preserve"> </w:t>
      </w:r>
      <w:r w:rsidR="0057094F">
        <w:t>de préciser les mêmes montants pour les 3 plus gros assureurs du marché</w:t>
      </w:r>
      <w:r w:rsidR="008B2171">
        <w:t> ;</w:t>
      </w:r>
      <w:r w:rsidR="0057094F">
        <w:t xml:space="preserve"> etc. Une participation accrue des pays africains francophone renforcerait la perception positive (i) de l’Afrique</w:t>
      </w:r>
      <w:r w:rsidR="006A42A0">
        <w:t xml:space="preserve"> et</w:t>
      </w:r>
      <w:r w:rsidR="0057094F">
        <w:t xml:space="preserve"> (ii) de la francophonie à l’AICA</w:t>
      </w:r>
      <w:r w:rsidR="008B2171">
        <w:t xml:space="preserve"> (voir aussi § 12)</w:t>
      </w:r>
      <w:r w:rsidR="0057094F">
        <w:t>.</w:t>
      </w:r>
    </w:p>
    <w:p w:rsidR="009E6026" w:rsidRDefault="009E6026" w:rsidP="00462612">
      <w:pPr>
        <w:pStyle w:val="Paragraphedeliste"/>
        <w:ind w:left="357" w:hanging="357"/>
      </w:pPr>
    </w:p>
    <w:p w:rsidR="008B2171" w:rsidRDefault="0057094F" w:rsidP="008B2171">
      <w:pPr>
        <w:pStyle w:val="Paragraphedeliste"/>
        <w:numPr>
          <w:ilvl w:val="0"/>
          <w:numId w:val="3"/>
        </w:numPr>
        <w:spacing w:before="360"/>
        <w:ind w:left="567" w:hanging="567"/>
      </w:pPr>
      <w:r>
        <w:t>(Br</w:t>
      </w:r>
      <w:r w:rsidR="009E6026">
        <w:t>ève</w:t>
      </w:r>
      <w:r>
        <w:t xml:space="preserve">) introduction </w:t>
      </w:r>
      <w:r w:rsidR="00A15E88">
        <w:t xml:space="preserve">au contrôle </w:t>
      </w:r>
      <w:r>
        <w:t xml:space="preserve">basé sur les risques.  François Tempé </w:t>
      </w:r>
      <w:r w:rsidR="00AF0B3A">
        <w:t xml:space="preserve">indique </w:t>
      </w:r>
      <w:r w:rsidR="00A15E88">
        <w:t xml:space="preserve">qu’il </w:t>
      </w:r>
      <w:r w:rsidR="00276C0C">
        <w:t xml:space="preserve">pourrait être </w:t>
      </w:r>
      <w:r w:rsidR="00A15E88">
        <w:t xml:space="preserve">plus adéquat de parler de contrôle, ou de solvabilité, </w:t>
      </w:r>
      <w:r w:rsidR="00A15E88">
        <w:rPr>
          <w:b/>
        </w:rPr>
        <w:t>sensible</w:t>
      </w:r>
      <w:r w:rsidR="00AF0B3A">
        <w:rPr>
          <w:b/>
        </w:rPr>
        <w:t>s</w:t>
      </w:r>
      <w:r w:rsidR="00A15E88">
        <w:rPr>
          <w:b/>
        </w:rPr>
        <w:t xml:space="preserve"> </w:t>
      </w:r>
      <w:r w:rsidR="00A15E88">
        <w:t>au risque</w:t>
      </w:r>
      <w:r w:rsidR="009E6026">
        <w:t xml:space="preserve">, plutôt que </w:t>
      </w:r>
      <w:r w:rsidR="00AF0B3A">
        <w:t>« </w:t>
      </w:r>
      <w:r w:rsidR="00AF0B3A" w:rsidRPr="00AF0B3A">
        <w:rPr>
          <w:i/>
        </w:rPr>
        <w:t>basés</w:t>
      </w:r>
      <w:r w:rsidR="00AF0B3A">
        <w:t xml:space="preserve"> </w:t>
      </w:r>
      <w:r w:rsidR="009E6026">
        <w:t>sur les risques</w:t>
      </w:r>
      <w:r w:rsidR="00AF0B3A">
        <w:t xml:space="preserve"> », expression </w:t>
      </w:r>
      <w:r w:rsidR="009E6026">
        <w:t>qui semble trop binaire</w:t>
      </w:r>
      <w:r w:rsidR="00AF0B3A">
        <w:t> ;</w:t>
      </w:r>
      <w:r w:rsidR="009E6026">
        <w:t xml:space="preserve"> alors qu’en réalité les systèmes de contrôle sont </w:t>
      </w:r>
      <w:r w:rsidR="009E6026">
        <w:rPr>
          <w:b/>
        </w:rPr>
        <w:t xml:space="preserve">plus ou moins sensibles </w:t>
      </w:r>
      <w:r w:rsidR="009E6026">
        <w:t>aux risques —même l</w:t>
      </w:r>
      <w:r w:rsidR="008B2171">
        <w:t>es systèmes de type Solvabilité </w:t>
      </w:r>
      <w:r w:rsidR="009E6026">
        <w:t xml:space="preserve">1 (S1) ont une </w:t>
      </w:r>
      <w:r w:rsidR="008B2171">
        <w:t xml:space="preserve">certaine </w:t>
      </w:r>
      <w:r w:rsidR="009E6026">
        <w:t xml:space="preserve">sensibilité à certaines composantes de risque, et </w:t>
      </w:r>
      <w:r w:rsidR="00525194">
        <w:t xml:space="preserve">dans S2, </w:t>
      </w:r>
      <w:r w:rsidR="008B2171">
        <w:t xml:space="preserve">la formule standard de </w:t>
      </w:r>
      <w:r w:rsidR="009E6026">
        <w:t>l’exigence de capital (C</w:t>
      </w:r>
      <w:r w:rsidR="008B2171">
        <w:t>S</w:t>
      </w:r>
      <w:r w:rsidR="009E6026">
        <w:t>R, Capital de solvabilité requis</w:t>
      </w:r>
      <w:r w:rsidR="008B2171">
        <w:t xml:space="preserve">, en anglais </w:t>
      </w:r>
      <w:r w:rsidR="008B2171">
        <w:rPr>
          <w:i/>
        </w:rPr>
        <w:t>SCR</w:t>
      </w:r>
      <w:r w:rsidR="009E6026">
        <w:t xml:space="preserve">) n’est pas totalement sensible </w:t>
      </w:r>
      <w:r w:rsidR="008B2171">
        <w:t xml:space="preserve">aux </w:t>
      </w:r>
      <w:r w:rsidR="009E6026">
        <w:t>risque</w:t>
      </w:r>
      <w:r w:rsidR="00276C0C">
        <w:t>s</w:t>
      </w:r>
      <w:r w:rsidR="009E6026">
        <w:t xml:space="preserve">.  Simplement, les sensibilités de S1 </w:t>
      </w:r>
      <w:r w:rsidR="00276C0C">
        <w:t xml:space="preserve">aux risques </w:t>
      </w:r>
      <w:r w:rsidR="008B2171">
        <w:t xml:space="preserve">sont </w:t>
      </w:r>
      <w:r w:rsidR="009E6026">
        <w:t>souvent frustres</w:t>
      </w:r>
      <w:r w:rsidR="008B2171">
        <w:t xml:space="preserve"> </w:t>
      </w:r>
      <w:r w:rsidR="00B403C5">
        <w:t>—par exemple, les exigences de solvabilité en cas de vie distingueront selon que le</w:t>
      </w:r>
      <w:r w:rsidR="00276C0C">
        <w:t xml:space="preserve">s contrats </w:t>
      </w:r>
      <w:r w:rsidR="008B2171">
        <w:t xml:space="preserve">portent </w:t>
      </w:r>
      <w:r w:rsidR="00276C0C">
        <w:t xml:space="preserve">ou non un risque </w:t>
      </w:r>
      <w:r w:rsidR="00B403C5">
        <w:t>décès</w:t>
      </w:r>
      <w:r w:rsidR="00276C0C">
        <w:t xml:space="preserve">, mais </w:t>
      </w:r>
      <w:r w:rsidR="00B403C5">
        <w:t>ne distingueront pas</w:t>
      </w:r>
      <w:r w:rsidR="006A42A0">
        <w:t>, parmi ces derniers,</w:t>
      </w:r>
      <w:r w:rsidR="00B403C5">
        <w:t xml:space="preserve"> entre les </w:t>
      </w:r>
      <w:r w:rsidR="008B2171">
        <w:t xml:space="preserve">contrats </w:t>
      </w:r>
      <w:r w:rsidR="00B403C5">
        <w:t xml:space="preserve">insensibles </w:t>
      </w:r>
      <w:r w:rsidR="008B2171">
        <w:t>à l’</w:t>
      </w:r>
      <w:r w:rsidR="00276C0C">
        <w:t xml:space="preserve">accroissement de longévité </w:t>
      </w:r>
      <w:r w:rsidR="00B403C5">
        <w:t xml:space="preserve">(contrats </w:t>
      </w:r>
      <w:r w:rsidR="006A42A0">
        <w:t xml:space="preserve">dits « d’épargne » </w:t>
      </w:r>
      <w:r w:rsidR="00B403C5">
        <w:t>avec contre-assurance de la provision mathématique</w:t>
      </w:r>
      <w:r w:rsidR="00276C0C">
        <w:t xml:space="preserve"> —PM</w:t>
      </w:r>
      <w:r w:rsidR="00B403C5">
        <w:t xml:space="preserve">), </w:t>
      </w:r>
      <w:r w:rsidR="008B2171">
        <w:t xml:space="preserve">les contrats </w:t>
      </w:r>
      <w:r w:rsidR="00B403C5">
        <w:t xml:space="preserve">très peu sensibles à ce risque (rentes viagères temporaires), ou </w:t>
      </w:r>
      <w:r w:rsidR="008B2171">
        <w:t xml:space="preserve">ceux qui sont très </w:t>
      </w:r>
      <w:r w:rsidR="00B403C5">
        <w:t>sensibles à ce risque (rentes viagères à vie)</w:t>
      </w:r>
      <w:r w:rsidR="008B2171">
        <w:t>.</w:t>
      </w:r>
    </w:p>
    <w:p w:rsidR="00B403C5" w:rsidRDefault="008B2171" w:rsidP="008B2171">
      <w:pPr>
        <w:spacing w:before="120"/>
        <w:ind w:left="567"/>
      </w:pPr>
      <w:r>
        <w:t xml:space="preserve">Au contraire, </w:t>
      </w:r>
      <w:r w:rsidR="00B403C5">
        <w:t xml:space="preserve">les exigences de solvabilité </w:t>
      </w:r>
      <w:r w:rsidR="009E6026">
        <w:t xml:space="preserve">de S2 sont </w:t>
      </w:r>
      <w:r w:rsidR="00276C0C">
        <w:t xml:space="preserve">bien </w:t>
      </w:r>
      <w:r w:rsidR="009E6026">
        <w:t xml:space="preserve">plus </w:t>
      </w:r>
      <w:r w:rsidR="00B403C5">
        <w:t>« sensibles »</w:t>
      </w:r>
      <w:r w:rsidR="00276C0C">
        <w:t xml:space="preserve"> aux risques</w:t>
      </w:r>
      <w:r w:rsidR="00B403C5">
        <w:t xml:space="preserve"> —ainsi, </w:t>
      </w:r>
      <w:r w:rsidR="00276C0C">
        <w:t>pour le risque de longévité</w:t>
      </w:r>
      <w:r w:rsidR="00B403C5">
        <w:t>, des « chocs</w:t>
      </w:r>
      <w:r w:rsidR="00112405">
        <w:t xml:space="preserve"> » sur la </w:t>
      </w:r>
      <w:r w:rsidR="00B403C5">
        <w:t>mortalité</w:t>
      </w:r>
      <w:r w:rsidR="00112405">
        <w:t xml:space="preserve"> des </w:t>
      </w:r>
      <w:r w:rsidR="00B403C5">
        <w:t xml:space="preserve">tables calculeront des exigences de solvabilité bien plus élevées pour les rentes viagères </w:t>
      </w:r>
      <w:r w:rsidR="00112405">
        <w:t xml:space="preserve">« à vie » </w:t>
      </w:r>
      <w:r w:rsidR="00B403C5">
        <w:t>que pour les rentes temporaires</w:t>
      </w:r>
      <w:r w:rsidR="00276C0C">
        <w:t xml:space="preserve"> ou les contrats avec contre-assurance de la PM</w:t>
      </w:r>
      <w:r w:rsidR="00B403C5">
        <w:t xml:space="preserve">.  </w:t>
      </w:r>
      <w:r w:rsidR="00112405">
        <w:t xml:space="preserve">Toutefois, </w:t>
      </w:r>
      <w:r w:rsidR="006A42A0">
        <w:t xml:space="preserve">même la formule standard du CSR </w:t>
      </w:r>
      <w:r w:rsidR="00B403C5">
        <w:t xml:space="preserve">de S2 </w:t>
      </w:r>
      <w:r w:rsidR="006A42A0">
        <w:t xml:space="preserve">n’est </w:t>
      </w:r>
      <w:r w:rsidR="00B403C5">
        <w:t>p</w:t>
      </w:r>
      <w:r w:rsidR="006A42A0">
        <w:t>as non plus totalement sensible</w:t>
      </w:r>
      <w:r w:rsidR="00B403C5">
        <w:t xml:space="preserve"> au ri</w:t>
      </w:r>
      <w:r w:rsidR="006A42A0">
        <w:t>sque :</w:t>
      </w:r>
      <w:r w:rsidR="00B403C5">
        <w:t xml:space="preserve"> un exemple concret </w:t>
      </w:r>
      <w:r w:rsidR="00B403C5">
        <w:lastRenderedPageBreak/>
        <w:t>étant l’assurance-caution pour laquelle la formule standard</w:t>
      </w:r>
      <w:r w:rsidR="00112405">
        <w:t xml:space="preserve"> du CSR </w:t>
      </w:r>
      <w:r w:rsidR="00276C0C">
        <w:t xml:space="preserve">pour le </w:t>
      </w:r>
      <w:r w:rsidR="00D8581F">
        <w:t>risque d’assurance (</w:t>
      </w:r>
      <w:r w:rsidR="00276C0C">
        <w:t>le</w:t>
      </w:r>
      <w:r w:rsidR="00D8581F">
        <w:t xml:space="preserve"> « risque de souscription »), à l’inverse </w:t>
      </w:r>
      <w:r w:rsidR="00726986">
        <w:t xml:space="preserve">de ce qu’elle prévoit pour le </w:t>
      </w:r>
      <w:r w:rsidR="00276C0C">
        <w:t xml:space="preserve">risque </w:t>
      </w:r>
      <w:r w:rsidR="00D8581F">
        <w:t xml:space="preserve">de contrepartie, </w:t>
      </w:r>
      <w:r w:rsidR="00B403C5">
        <w:t xml:space="preserve">ne </w:t>
      </w:r>
      <w:r w:rsidR="00112405">
        <w:t xml:space="preserve">différencie pas </w:t>
      </w:r>
      <w:r w:rsidR="00B403C5">
        <w:t xml:space="preserve">selon que les </w:t>
      </w:r>
      <w:r w:rsidR="00D8581F">
        <w:t>débiteurs cautionnés sont ou non dispersés / indépendant les uns des autres.</w:t>
      </w:r>
    </w:p>
    <w:p w:rsidR="009E6026" w:rsidRDefault="00B403C5" w:rsidP="008B2171">
      <w:pPr>
        <w:pStyle w:val="Paragraphedeliste"/>
        <w:spacing w:before="120"/>
        <w:ind w:left="567"/>
        <w:contextualSpacing w:val="0"/>
      </w:pPr>
      <w:r>
        <w:t xml:space="preserve">Reste ensuite </w:t>
      </w:r>
      <w:r w:rsidR="009E6026">
        <w:t xml:space="preserve">à trouver </w:t>
      </w:r>
      <w:r>
        <w:t xml:space="preserve">un </w:t>
      </w:r>
      <w:r w:rsidR="009E6026">
        <w:t>compromis</w:t>
      </w:r>
      <w:r>
        <w:t xml:space="preserve"> satisfaisant entre sensibilité au risque et </w:t>
      </w:r>
      <w:r w:rsidR="00112405">
        <w:t xml:space="preserve">complexité </w:t>
      </w:r>
      <w:r>
        <w:t>d’appréhension</w:t>
      </w:r>
      <w:r w:rsidR="009E6026">
        <w:t xml:space="preserve"> —plus une exigence standard de solvabilité est « sensible aux risques », plus </w:t>
      </w:r>
      <w:r w:rsidR="00726986">
        <w:t xml:space="preserve">complexe seront </w:t>
      </w:r>
      <w:r w:rsidR="009E6026">
        <w:t xml:space="preserve">sa formulation </w:t>
      </w:r>
      <w:r w:rsidR="00726986">
        <w:t xml:space="preserve">&amp; </w:t>
      </w:r>
      <w:r w:rsidR="009E6026">
        <w:t xml:space="preserve">mise en œuvre.  </w:t>
      </w:r>
    </w:p>
    <w:p w:rsidR="009E6026" w:rsidRDefault="009E6026" w:rsidP="009E6026">
      <w:pPr>
        <w:pStyle w:val="Paragraphedeliste"/>
      </w:pPr>
    </w:p>
    <w:p w:rsidR="00276C0C" w:rsidRDefault="009C16CD" w:rsidP="009362BD">
      <w:pPr>
        <w:pStyle w:val="Paragraphedeliste"/>
        <w:numPr>
          <w:ilvl w:val="0"/>
          <w:numId w:val="3"/>
        </w:numPr>
        <w:spacing w:before="360"/>
        <w:ind w:left="567" w:hanging="567"/>
      </w:pPr>
      <w:r>
        <w:t xml:space="preserve">Atelier </w:t>
      </w:r>
      <w:r w:rsidRPr="009C16CD">
        <w:rPr>
          <w:i/>
        </w:rPr>
        <w:t>Pourquoi une solvabilité basée sur les risques</w:t>
      </w:r>
      <w:r>
        <w:rPr>
          <w:i/>
        </w:rPr>
        <w:t xml:space="preserve"> (SBR)</w:t>
      </w:r>
      <w:r w:rsidRPr="009C16CD">
        <w:rPr>
          <w:i/>
        </w:rPr>
        <w:t> ?</w:t>
      </w:r>
      <w:r>
        <w:t xml:space="preserve">  François-Xavier de Rossi (FINMA), Hafid Zela</w:t>
      </w:r>
      <w:r w:rsidR="00910784">
        <w:t>m</w:t>
      </w:r>
      <w:r>
        <w:t>ta (ACAPS) et Paul Scherer (ACPR) présent</w:t>
      </w:r>
      <w:r w:rsidR="00112405">
        <w:t xml:space="preserve">ent </w:t>
      </w:r>
      <w:r>
        <w:t xml:space="preserve">cette question sous forme d’atelier-discussion répliquant un atelier de l’AICA en 2023 </w:t>
      </w:r>
      <w:r w:rsidR="00112405">
        <w:t>animé</w:t>
      </w:r>
      <w:r w:rsidR="00726986">
        <w:t xml:space="preserve"> par FINMA</w:t>
      </w:r>
      <w:r w:rsidR="00112405">
        <w:t>.  L’atelier présente</w:t>
      </w:r>
      <w:r w:rsidR="00726986">
        <w:t xml:space="preserve"> 3 </w:t>
      </w:r>
      <w:r>
        <w:t>thèmes principaux : (</w:t>
      </w:r>
      <w:r w:rsidR="00726986">
        <w:t>a</w:t>
      </w:r>
      <w:r>
        <w:t>) facteurs déclencheurs de la transition vers un régime SBR ; (</w:t>
      </w:r>
      <w:r w:rsidR="00726986">
        <w:t>b</w:t>
      </w:r>
      <w:r>
        <w:t>) implication des dirigeants de l’autorité de contrôle ; (</w:t>
      </w:r>
      <w:r w:rsidR="00726986">
        <w:t>c</w:t>
      </w:r>
      <w:r>
        <w:t xml:space="preserve">) Études </w:t>
      </w:r>
      <w:r w:rsidR="0033612A">
        <w:t xml:space="preserve">d’adéquation (études d’impact) et participation de l’industrie.  </w:t>
      </w:r>
    </w:p>
    <w:p w:rsidR="00276C0C" w:rsidRDefault="00C47C0B" w:rsidP="008B4B85">
      <w:pPr>
        <w:pStyle w:val="Paragraphedeliste"/>
        <w:numPr>
          <w:ilvl w:val="0"/>
          <w:numId w:val="8"/>
        </w:numPr>
        <w:ind w:left="964" w:hanging="397"/>
      </w:pPr>
      <w:r>
        <w:t xml:space="preserve">Les </w:t>
      </w:r>
      <w:r w:rsidR="0033612A">
        <w:t xml:space="preserve">facteurs déclencheurs </w:t>
      </w:r>
      <w:r w:rsidR="00112405">
        <w:t>s</w:t>
      </w:r>
      <w:r w:rsidR="0033612A">
        <w:t xml:space="preserve">ont </w:t>
      </w:r>
      <w:r>
        <w:t>souvent multiples</w:t>
      </w:r>
      <w:r w:rsidR="008B4B85">
        <w:t xml:space="preserve">.  Par </w:t>
      </w:r>
      <w:r>
        <w:t xml:space="preserve">exemple, dans le cas de la </w:t>
      </w:r>
      <w:r w:rsidRPr="008B4B85">
        <w:rPr>
          <w:b/>
        </w:rPr>
        <w:t>Suisse</w:t>
      </w:r>
      <w:r>
        <w:t xml:space="preserve">, ils ont inclus </w:t>
      </w:r>
      <w:r w:rsidR="0033612A">
        <w:t>la constatation</w:t>
      </w:r>
      <w:r w:rsidR="008B4B85">
        <w:t xml:space="preserve"> (i)</w:t>
      </w:r>
      <w:r w:rsidR="0033612A">
        <w:t xml:space="preserve"> que la baisse des taux</w:t>
      </w:r>
      <w:r>
        <w:t xml:space="preserve"> </w:t>
      </w:r>
      <w:r w:rsidR="008B4B85">
        <w:t xml:space="preserve">de rendement </w:t>
      </w:r>
      <w:r w:rsidR="00112405">
        <w:t xml:space="preserve">des </w:t>
      </w:r>
      <w:r w:rsidR="008B4B85">
        <w:t xml:space="preserve">actifs qui devenaient parfois inférieurs aux </w:t>
      </w:r>
      <w:r>
        <w:t>taux garantis des contrats d’assurance-vie</w:t>
      </w:r>
      <w:r w:rsidR="008B4B85">
        <w:t xml:space="preserve">, et qui donc risquait de </w:t>
      </w:r>
      <w:r>
        <w:t xml:space="preserve">réduire </w:t>
      </w:r>
      <w:r w:rsidR="0033612A">
        <w:t xml:space="preserve">la capacité des assureurs </w:t>
      </w:r>
      <w:r>
        <w:t xml:space="preserve">à honorer leurs engagements, n’avait </w:t>
      </w:r>
      <w:r w:rsidR="008B4B85">
        <w:t xml:space="preserve">pourtant </w:t>
      </w:r>
      <w:r>
        <w:t>aucun effet sur leur solvabilité</w:t>
      </w:r>
      <w:r w:rsidR="008B4B85">
        <w:t xml:space="preserve"> réglementaire ; (ii)</w:t>
      </w:r>
      <w:r>
        <w:t xml:space="preserve"> et que d’autres marchés évoluaient vers la SBR</w:t>
      </w:r>
      <w:r w:rsidR="008B4B85">
        <w:t xml:space="preserve">.  Dans </w:t>
      </w:r>
      <w:r>
        <w:t>le cas de l’</w:t>
      </w:r>
      <w:r w:rsidRPr="008B4B85">
        <w:rPr>
          <w:b/>
        </w:rPr>
        <w:t>UE</w:t>
      </w:r>
      <w:r>
        <w:t xml:space="preserve"> (France), l’entrée en vigueur du marché unique au 01.01.1994 rendait nécessaire de définir une norme commune de solvabilité, nettement plus précise que les normes « minimales » S1.  </w:t>
      </w:r>
      <w:r w:rsidRPr="008B4B85">
        <w:rPr>
          <w:i/>
        </w:rPr>
        <w:t xml:space="preserve">NB. </w:t>
      </w:r>
      <w:r w:rsidR="00726986">
        <w:rPr>
          <w:i/>
        </w:rPr>
        <w:t xml:space="preserve">Nous souvenons-nous des éléments </w:t>
      </w:r>
      <w:r w:rsidRPr="008B4B85">
        <w:rPr>
          <w:i/>
        </w:rPr>
        <w:t>ensuite discutés ? (</w:t>
      </w:r>
      <w:r w:rsidR="00726986">
        <w:rPr>
          <w:i/>
        </w:rPr>
        <w:t xml:space="preserve">cf. </w:t>
      </w:r>
      <w:r w:rsidRPr="008B4B85">
        <w:rPr>
          <w:i/>
        </w:rPr>
        <w:t>d8</w:t>
      </w:r>
      <w:r w:rsidR="00726986">
        <w:rPr>
          <w:i/>
        </w:rPr>
        <w:t>, cadre bleu</w:t>
      </w:r>
      <w:r w:rsidRPr="008B4B85">
        <w:rPr>
          <w:i/>
        </w:rPr>
        <w:t>)</w:t>
      </w:r>
      <w:r>
        <w:t xml:space="preserve">.  </w:t>
      </w:r>
    </w:p>
    <w:p w:rsidR="00276C0C" w:rsidRDefault="00C47C0B" w:rsidP="00112405">
      <w:pPr>
        <w:pStyle w:val="Paragraphedeliste"/>
        <w:numPr>
          <w:ilvl w:val="0"/>
          <w:numId w:val="8"/>
        </w:numPr>
        <w:ind w:left="964" w:hanging="397"/>
      </w:pPr>
      <w:r>
        <w:t>Dans le cas de l’</w:t>
      </w:r>
      <w:r w:rsidRPr="008B4B85">
        <w:rPr>
          <w:b/>
        </w:rPr>
        <w:t>ACAPS</w:t>
      </w:r>
      <w:r>
        <w:t>, les dirigeants de l’autorité de contrôle ont été impliqués via un « comité de pilotage SBR » présidé par le Président de l’ACAPS</w:t>
      </w:r>
      <w:r w:rsidR="00156325">
        <w:t>,</w:t>
      </w:r>
      <w:r>
        <w:t xml:space="preserve"> un « com</w:t>
      </w:r>
      <w:r w:rsidR="00156325">
        <w:t xml:space="preserve">ité technique SBR » constitué des directeurs de l’ACAPS, et de groupes de travail SBR.  Dans le cas de la </w:t>
      </w:r>
      <w:r w:rsidR="00156325" w:rsidRPr="008B4B85">
        <w:rPr>
          <w:b/>
        </w:rPr>
        <w:t>FINMA</w:t>
      </w:r>
      <w:r w:rsidR="00156325">
        <w:t xml:space="preserve">, le « taureau a été pris par les cornes » puisque c’est précisément un membre de la commission </w:t>
      </w:r>
      <w:r w:rsidR="00156325">
        <w:rPr>
          <w:i/>
        </w:rPr>
        <w:t xml:space="preserve">ad hoc </w:t>
      </w:r>
      <w:r w:rsidR="00156325">
        <w:t>qui avait préconisé le passage à un régime SBR, qui a été nommé directeur de l’autorité de contrôle suisse (devenue FINMA en 2009), et une structure souple constituée d’un petit nombre de spécialistes a ensuite mis en place le SST</w:t>
      </w:r>
      <w:r w:rsidR="00A92620">
        <w:t xml:space="preserve">.  </w:t>
      </w:r>
      <w:r w:rsidR="00726986" w:rsidRPr="008B4B85">
        <w:rPr>
          <w:i/>
        </w:rPr>
        <w:t xml:space="preserve">NB. </w:t>
      </w:r>
      <w:r w:rsidR="00726986">
        <w:rPr>
          <w:i/>
        </w:rPr>
        <w:t xml:space="preserve">Nous souvenons-nous des éléments </w:t>
      </w:r>
      <w:r w:rsidR="00726986" w:rsidRPr="008B4B85">
        <w:rPr>
          <w:i/>
        </w:rPr>
        <w:t>ensuite discutés ? (</w:t>
      </w:r>
      <w:r w:rsidR="00726986">
        <w:rPr>
          <w:i/>
        </w:rPr>
        <w:t xml:space="preserve">cf. </w:t>
      </w:r>
      <w:r w:rsidR="00726986" w:rsidRPr="008B4B85">
        <w:rPr>
          <w:i/>
        </w:rPr>
        <w:t>d</w:t>
      </w:r>
      <w:r w:rsidR="00726986">
        <w:rPr>
          <w:i/>
        </w:rPr>
        <w:t>12, cadre bleu</w:t>
      </w:r>
      <w:r w:rsidR="00726986" w:rsidRPr="008B4B85">
        <w:rPr>
          <w:i/>
        </w:rPr>
        <w:t>)</w:t>
      </w:r>
      <w:r w:rsidR="00A92620">
        <w:t xml:space="preserve">.  </w:t>
      </w:r>
    </w:p>
    <w:p w:rsidR="00C47C0B" w:rsidRDefault="004F05A6" w:rsidP="00112405">
      <w:pPr>
        <w:pStyle w:val="Paragraphedeliste"/>
        <w:numPr>
          <w:ilvl w:val="0"/>
          <w:numId w:val="8"/>
        </w:numPr>
        <w:ind w:left="964" w:hanging="397"/>
      </w:pPr>
      <w:r>
        <w:t xml:space="preserve">Dans le cas de </w:t>
      </w:r>
      <w:r w:rsidR="008B4B85">
        <w:t>l’</w:t>
      </w:r>
      <w:r w:rsidR="008B4B85" w:rsidRPr="008B4B85">
        <w:rPr>
          <w:b/>
        </w:rPr>
        <w:t>UE</w:t>
      </w:r>
      <w:r>
        <w:t xml:space="preserve">, </w:t>
      </w:r>
      <w:r w:rsidR="00CE2383">
        <w:t xml:space="preserve">il y a eu 5 </w:t>
      </w:r>
      <w:r>
        <w:t>études quantitatives d’impact, entre 2005 et 2012</w:t>
      </w:r>
      <w:r w:rsidR="00CE2383">
        <w:t> ;</w:t>
      </w:r>
      <w:r w:rsidR="00A34724">
        <w:t xml:space="preserve"> avec à chaque fois des thèmes nouveaux et une participation croissante du marché (</w:t>
      </w:r>
      <w:r w:rsidR="00CE2383">
        <w:t xml:space="preserve">en France, </w:t>
      </w:r>
      <w:r w:rsidR="00A34724">
        <w:t>90% pour la 5</w:t>
      </w:r>
      <w:r w:rsidR="00A34724" w:rsidRPr="00A34724">
        <w:rPr>
          <w:vertAlign w:val="superscript"/>
        </w:rPr>
        <w:t>e</w:t>
      </w:r>
      <w:r w:rsidR="00A34724">
        <w:t xml:space="preserve"> étude d’impact</w:t>
      </w:r>
      <w:r w:rsidR="00966BB6">
        <w:t>) (d14</w:t>
      </w:r>
      <w:r w:rsidR="00A34724">
        <w:t>)</w:t>
      </w:r>
      <w:r w:rsidR="00CE2383">
        <w:t>.  L</w:t>
      </w:r>
      <w:r w:rsidR="00A34724">
        <w:t>’ACPR a mené des « contrôles sur place à blanc » à partir de 2013</w:t>
      </w:r>
      <w:r w:rsidR="008B4B85">
        <w:t xml:space="preserve">.  La </w:t>
      </w:r>
      <w:r w:rsidR="00A34724" w:rsidRPr="008B4B85">
        <w:rPr>
          <w:b/>
        </w:rPr>
        <w:t>FINMA</w:t>
      </w:r>
      <w:r w:rsidR="00A34724">
        <w:t xml:space="preserve"> a </w:t>
      </w:r>
      <w:r w:rsidR="00966BB6">
        <w:t xml:space="preserve">effectué 2 études </w:t>
      </w:r>
      <w:r w:rsidR="00CE2383">
        <w:t xml:space="preserve">appelées </w:t>
      </w:r>
      <w:r w:rsidR="00726986">
        <w:t>« </w:t>
      </w:r>
      <w:r w:rsidR="00CE2383">
        <w:t>t</w:t>
      </w:r>
      <w:r w:rsidR="00966BB6">
        <w:t>ests d’adéquation</w:t>
      </w:r>
      <w:r w:rsidR="00726986">
        <w:t> »</w:t>
      </w:r>
      <w:r w:rsidR="00966BB6">
        <w:t xml:space="preserve"> </w:t>
      </w:r>
      <w:r w:rsidR="00910784">
        <w:t>(</w:t>
      </w:r>
      <w:r w:rsidR="00910784">
        <w:rPr>
          <w:i/>
        </w:rPr>
        <w:t>field tests</w:t>
      </w:r>
      <w:r w:rsidR="00CE2383">
        <w:t>)</w:t>
      </w:r>
      <w:r w:rsidR="00966BB6">
        <w:t xml:space="preserve"> en 2004 et 2005</w:t>
      </w:r>
      <w:r w:rsidR="00CE2383">
        <w:t xml:space="preserve"> (d15)</w:t>
      </w:r>
      <w:r w:rsidR="00A34724">
        <w:t>.</w:t>
      </w:r>
      <w:r w:rsidR="00966BB6">
        <w:t xml:space="preserve">  Les questions à se poser par les autorités seraient si de telles études sont envisageables dans leurs pays, et si, pour les « petits » marchés, un partage de ressources (ex. actuaires) serait possible (d16).</w:t>
      </w:r>
      <w:r w:rsidR="00A34724">
        <w:t xml:space="preserve"> </w:t>
      </w:r>
    </w:p>
    <w:p w:rsidR="009C16CD" w:rsidRDefault="009C16CD" w:rsidP="009C16CD">
      <w:pPr>
        <w:pStyle w:val="Paragraphedeliste"/>
      </w:pPr>
    </w:p>
    <w:p w:rsidR="002272FD" w:rsidRDefault="009C16CD" w:rsidP="009362BD">
      <w:pPr>
        <w:pStyle w:val="Paragraphedeliste"/>
        <w:numPr>
          <w:ilvl w:val="0"/>
          <w:numId w:val="3"/>
        </w:numPr>
        <w:spacing w:before="360"/>
        <w:ind w:left="567" w:hanging="567"/>
      </w:pPr>
      <w:r>
        <w:t>Hafid Zela</w:t>
      </w:r>
      <w:r w:rsidR="00910784">
        <w:t>m</w:t>
      </w:r>
      <w:r>
        <w:t xml:space="preserve">ta (ACAPS) </w:t>
      </w:r>
      <w:r w:rsidR="0068594D">
        <w:t xml:space="preserve">introduit la nécessité de renforcer le contrôle </w:t>
      </w:r>
      <w:r w:rsidR="002272FD">
        <w:t>de l’</w:t>
      </w:r>
      <w:r w:rsidR="0068594D">
        <w:t xml:space="preserve">assurance, </w:t>
      </w:r>
      <w:r w:rsidR="002272FD">
        <w:t xml:space="preserve">tant </w:t>
      </w:r>
      <w:r w:rsidR="00CE2383">
        <w:t xml:space="preserve">prudentiel (solvabilité) que </w:t>
      </w:r>
      <w:r w:rsidR="0068594D">
        <w:t xml:space="preserve">des pratiques commerciales (protection des consommateur). Les évolutions des contextes (internationalisation </w:t>
      </w:r>
      <w:r w:rsidR="00CE2383">
        <w:t>accrue</w:t>
      </w:r>
      <w:r w:rsidR="0068594D">
        <w:t xml:space="preserve">, développements techniques et financiers…) </w:t>
      </w:r>
      <w:r w:rsidR="00CE2383">
        <w:t xml:space="preserve">ont accru </w:t>
      </w:r>
      <w:r w:rsidR="008B4B85">
        <w:t xml:space="preserve">la nécessité de </w:t>
      </w:r>
      <w:r w:rsidR="0068594D">
        <w:t xml:space="preserve">réglementations prudentielles sensibles aux risques. </w:t>
      </w:r>
      <w:r w:rsidR="00CE2383">
        <w:t xml:space="preserve"> </w:t>
      </w:r>
      <w:r w:rsidR="0068594D">
        <w:t xml:space="preserve">Ces réglementations sont </w:t>
      </w:r>
      <w:r w:rsidR="002272FD">
        <w:t xml:space="preserve">habituellement </w:t>
      </w:r>
      <w:r w:rsidR="0068594D">
        <w:t>divisées en 3 </w:t>
      </w:r>
      <w:r w:rsidR="00133839">
        <w:t>pilier</w:t>
      </w:r>
      <w:r w:rsidR="0068594D">
        <w:t>s</w:t>
      </w:r>
      <w:r w:rsidR="00D516E9">
        <w:t xml:space="preserve"> (cf. aussi l’item 8)</w:t>
      </w:r>
      <w:r w:rsidR="0068594D">
        <w:t> : un « </w:t>
      </w:r>
      <w:r w:rsidR="00133839">
        <w:t>Pilier</w:t>
      </w:r>
      <w:r w:rsidR="0068594D">
        <w:t> 1 », les exigences quantitatives ; un « </w:t>
      </w:r>
      <w:r w:rsidR="00133839">
        <w:t>Pilier</w:t>
      </w:r>
      <w:r w:rsidR="0068594D">
        <w:t> 2 », les exigences de gouvernance ; un « </w:t>
      </w:r>
      <w:r w:rsidR="00133839">
        <w:t>pilier</w:t>
      </w:r>
      <w:r w:rsidR="0068594D">
        <w:t xml:space="preserve"> 3 », les </w:t>
      </w:r>
      <w:r w:rsidR="0068594D">
        <w:lastRenderedPageBreak/>
        <w:t xml:space="preserve">exigences d’information.  </w:t>
      </w:r>
      <w:r w:rsidR="00834A03">
        <w:t>Il y aura</w:t>
      </w:r>
      <w:r w:rsidR="008B4B85">
        <w:t>, au Maroc,</w:t>
      </w:r>
      <w:r w:rsidR="00834A03">
        <w:t xml:space="preserve"> 3 niveaux de texte : le code des assurances (art.239 à 239</w:t>
      </w:r>
      <w:r w:rsidR="00D516E9">
        <w:noBreakHyphen/>
      </w:r>
      <w:r w:rsidR="00834A03">
        <w:t xml:space="preserve">2) ; une circulaire d’application (projet en consultation) ; des instructions &amp; décisions complémentaires éventuelles. </w:t>
      </w:r>
    </w:p>
    <w:p w:rsidR="002F7870" w:rsidRDefault="002272FD" w:rsidP="00CE2383">
      <w:pPr>
        <w:pStyle w:val="Paragraphedeliste"/>
        <w:spacing w:before="240"/>
        <w:ind w:left="567"/>
        <w:contextualSpacing w:val="0"/>
      </w:pPr>
      <w:r>
        <w:t>À l’ACAPS, l</w:t>
      </w:r>
      <w:r w:rsidR="00834A03">
        <w:t>’organisation mise en place pour passer à la réglementation SBR a inclus 7 groupes de travail spécialisés (</w:t>
      </w:r>
      <w:r w:rsidR="00133839">
        <w:t>Pilier</w:t>
      </w:r>
      <w:r w:rsidR="00834A03">
        <w:t xml:space="preserve"> 1, </w:t>
      </w:r>
      <w:r w:rsidR="00133839">
        <w:t>Pilier</w:t>
      </w:r>
      <w:r w:rsidR="00834A03">
        <w:t xml:space="preserve"> 2 Gouvernance, </w:t>
      </w:r>
      <w:r w:rsidR="00133839">
        <w:t>Pilier</w:t>
      </w:r>
      <w:r w:rsidR="00834A03">
        <w:t xml:space="preserve"> 2 </w:t>
      </w:r>
      <w:r w:rsidR="008B4B85">
        <w:t>ORSA</w:t>
      </w:r>
      <w:r w:rsidR="00834A03">
        <w:t xml:space="preserve">, …) rendant compte à un </w:t>
      </w:r>
      <w:r w:rsidR="002F7870">
        <w:t xml:space="preserve">CoTech SBR se réunissant hebdomadairement, lui-même rendant compte à un COPIL </w:t>
      </w:r>
      <w:r w:rsidR="008B4B85">
        <w:t xml:space="preserve">(Comité de pilotage) </w:t>
      </w:r>
      <w:r w:rsidR="002F7870">
        <w:t>SBR se réunissant mensuellement et présidé par le Président de l’ACAPS.</w:t>
      </w:r>
      <w:r w:rsidR="002D5AFA">
        <w:t xml:space="preserve">  Les travaux préparatoires ont commencé en 2016, avec une attention particulière </w:t>
      </w:r>
      <w:r>
        <w:t xml:space="preserve">sur </w:t>
      </w:r>
      <w:r w:rsidR="002D5AFA">
        <w:t>la communication avec le secteur, et ont notamment inclus (</w:t>
      </w:r>
      <w:r w:rsidR="00133839">
        <w:t>Pilier</w:t>
      </w:r>
      <w:r w:rsidR="002D5AFA">
        <w:t xml:space="preserve"> 1) 3 études quantitatives d’impact. </w:t>
      </w:r>
    </w:p>
    <w:p w:rsidR="00133839" w:rsidRDefault="00133839" w:rsidP="008B4B85">
      <w:pPr>
        <w:pStyle w:val="Paragraphedeliste"/>
        <w:spacing w:before="120" w:after="0"/>
        <w:ind w:left="567"/>
        <w:contextualSpacing w:val="0"/>
      </w:pPr>
      <w:r>
        <w:t>Principales différences du</w:t>
      </w:r>
      <w:r w:rsidR="00CE2383">
        <w:t xml:space="preserve"> futur</w:t>
      </w:r>
      <w:r>
        <w:t xml:space="preserve"> « pilier 1 » avec les exigences quantitatives actuelles : </w:t>
      </w:r>
    </w:p>
    <w:p w:rsidR="00133839" w:rsidRDefault="00CE2383" w:rsidP="00112405">
      <w:pPr>
        <w:pStyle w:val="Paragraphedeliste"/>
        <w:numPr>
          <w:ilvl w:val="0"/>
          <w:numId w:val="4"/>
        </w:numPr>
        <w:ind w:left="964" w:hanging="397"/>
      </w:pPr>
      <w:r>
        <w:t xml:space="preserve">ces dernières </w:t>
      </w:r>
      <w:r w:rsidR="00133839">
        <w:t xml:space="preserve">sont </w:t>
      </w:r>
      <w:r w:rsidR="00726986">
        <w:t xml:space="preserve">presque uniquement </w:t>
      </w:r>
      <w:r w:rsidR="00133839">
        <w:t>fonction du risque de souscription (risque d’assurance), alors que le futur P1 tiendra aussi compte des risques de marché, de concentration et de contrepartie,</w:t>
      </w:r>
    </w:p>
    <w:p w:rsidR="00133839" w:rsidRDefault="00133839" w:rsidP="00112405">
      <w:pPr>
        <w:pStyle w:val="Paragraphedeliste"/>
        <w:numPr>
          <w:ilvl w:val="0"/>
          <w:numId w:val="4"/>
        </w:numPr>
        <w:ind w:left="964" w:hanging="397"/>
      </w:pPr>
      <w:r>
        <w:t>les bilans seront valorisés en valeur économique,</w:t>
      </w:r>
    </w:p>
    <w:p w:rsidR="00133839" w:rsidRDefault="00133839" w:rsidP="00112405">
      <w:pPr>
        <w:pStyle w:val="Paragraphedeliste"/>
        <w:numPr>
          <w:ilvl w:val="0"/>
          <w:numId w:val="4"/>
        </w:numPr>
        <w:ind w:left="964" w:hanging="397"/>
      </w:pPr>
      <w:r>
        <w:t>les limites sur actifs seront remplacées, ou complétées, par le PPP —Principe de la personne prudente.</w:t>
      </w:r>
    </w:p>
    <w:p w:rsidR="000453E7" w:rsidRDefault="00133839" w:rsidP="008B2171">
      <w:pPr>
        <w:spacing w:before="120"/>
        <w:ind w:left="567"/>
      </w:pPr>
      <w:r>
        <w:t xml:space="preserve">Le P2 (gouvernance) renforce la responsabilité de l’assureur et de ses organes (conseil d’administration, fonctions clés) dans la gestion des risques </w:t>
      </w:r>
      <w:r w:rsidR="000453E7">
        <w:t>et le respect des exigences quantitatives.</w:t>
      </w:r>
    </w:p>
    <w:p w:rsidR="000453E7" w:rsidRDefault="000453E7" w:rsidP="008B2171">
      <w:pPr>
        <w:spacing w:before="120"/>
        <w:ind w:left="567"/>
      </w:pPr>
      <w:r>
        <w:t>Le P3 définit les exigences de rapportage (reporting) à l’autorité de contrôle, et de transparence (communication financière) vis-à-vis du public.</w:t>
      </w:r>
    </w:p>
    <w:p w:rsidR="002272FD" w:rsidRDefault="000453E7" w:rsidP="008B4B85">
      <w:pPr>
        <w:spacing w:before="120" w:after="0"/>
        <w:ind w:left="567"/>
      </w:pPr>
      <w:r>
        <w:t>Le programme de contrôle de l’ACAPS</w:t>
      </w:r>
      <w:r w:rsidR="002272FD">
        <w:t xml:space="preserve"> sélectionne les assureurs à contrôler dans l’année </w:t>
      </w:r>
      <w:r>
        <w:t>en tenant compte d’un score de risque</w:t>
      </w:r>
      <w:r w:rsidR="00726986">
        <w:t>,</w:t>
      </w:r>
      <w:r>
        <w:t xml:space="preserve"> et d’un score d’impact</w:t>
      </w:r>
      <w:r w:rsidR="00675138">
        <w:t xml:space="preserve"> (</w:t>
      </w:r>
      <w:r w:rsidR="00726986">
        <w:t xml:space="preserve">impact </w:t>
      </w:r>
      <w:r>
        <w:t xml:space="preserve">de la défaillance </w:t>
      </w:r>
      <w:r w:rsidR="00726986">
        <w:t>de l’assureur</w:t>
      </w:r>
      <w:r w:rsidR="00675138">
        <w:t xml:space="preserve">). </w:t>
      </w:r>
      <w:r w:rsidR="00726986">
        <w:t xml:space="preserve">Le </w:t>
      </w:r>
      <w:r w:rsidR="00675138">
        <w:t>score</w:t>
      </w:r>
      <w:r>
        <w:t xml:space="preserve"> </w:t>
      </w:r>
      <w:r w:rsidR="00726986">
        <w:t xml:space="preserve">d’impact </w:t>
      </w:r>
      <w:r>
        <w:t>est mesuré</w:t>
      </w:r>
    </w:p>
    <w:p w:rsidR="002272FD" w:rsidRDefault="000453E7" w:rsidP="00112405">
      <w:pPr>
        <w:pStyle w:val="Paragraphedeliste"/>
        <w:numPr>
          <w:ilvl w:val="0"/>
          <w:numId w:val="9"/>
        </w:numPr>
        <w:ind w:left="964" w:hanging="397"/>
      </w:pPr>
      <w:r>
        <w:t>pour un assureur non-vie, comme l</w:t>
      </w:r>
      <w:r w:rsidR="002272FD">
        <w:t xml:space="preserve">e pourcentage </w:t>
      </w:r>
      <w:r>
        <w:t>de ses primes dans l’ensemble des primes non-vie du marché</w:t>
      </w:r>
      <w:r w:rsidR="002272FD">
        <w:t>,</w:t>
      </w:r>
    </w:p>
    <w:p w:rsidR="002272FD" w:rsidRDefault="000453E7" w:rsidP="000B462E">
      <w:pPr>
        <w:pStyle w:val="Paragraphedeliste"/>
        <w:numPr>
          <w:ilvl w:val="0"/>
          <w:numId w:val="9"/>
        </w:numPr>
        <w:spacing w:after="0"/>
        <w:ind w:left="964" w:hanging="397"/>
      </w:pPr>
      <w:r>
        <w:t xml:space="preserve">pour un assureur-vie, comme </w:t>
      </w:r>
      <w:r w:rsidR="002272FD">
        <w:t xml:space="preserve">le pourcentage </w:t>
      </w:r>
      <w:r>
        <w:t>de ses PT vie dans le total des PT vie du marché</w:t>
      </w:r>
      <w:r w:rsidR="002272FD">
        <w:t xml:space="preserve">. </w:t>
      </w:r>
    </w:p>
    <w:p w:rsidR="00834A03" w:rsidRDefault="00675138" w:rsidP="000B462E">
      <w:pPr>
        <w:ind w:left="567"/>
      </w:pPr>
      <w:r>
        <w:t xml:space="preserve">Mais </w:t>
      </w:r>
      <w:r w:rsidR="002272FD">
        <w:t xml:space="preserve">ce score </w:t>
      </w:r>
      <w:r w:rsidR="000B462E">
        <w:t xml:space="preserve">d’impact </w:t>
      </w:r>
      <w:r>
        <w:t>tient compte aussi de la substituabilité</w:t>
      </w:r>
      <w:r w:rsidR="000B462E">
        <w:t>, ou non-substituabilité,</w:t>
      </w:r>
      <w:r>
        <w:t xml:space="preserve"> de l’assureur (d67).</w:t>
      </w:r>
      <w:r w:rsidR="00133839">
        <w:t xml:space="preserve"> </w:t>
      </w:r>
    </w:p>
    <w:p w:rsidR="00F46D42" w:rsidRDefault="00F46D42" w:rsidP="00F46D42">
      <w:pPr>
        <w:pStyle w:val="Paragraphedeliste"/>
      </w:pPr>
    </w:p>
    <w:p w:rsidR="00214FF8" w:rsidRDefault="00214FF8" w:rsidP="009362BD">
      <w:pPr>
        <w:pStyle w:val="Paragraphedeliste"/>
        <w:numPr>
          <w:ilvl w:val="0"/>
          <w:numId w:val="3"/>
        </w:numPr>
        <w:spacing w:before="360"/>
        <w:ind w:left="567" w:hanging="567"/>
      </w:pPr>
      <w:r>
        <w:t xml:space="preserve">La norme de solvabilité suisse —souvent désignée par l’abréviation SST, </w:t>
      </w:r>
      <w:r>
        <w:rPr>
          <w:i/>
        </w:rPr>
        <w:t xml:space="preserve">Swiss Solvency Test </w:t>
      </w:r>
      <w:r>
        <w:t xml:space="preserve">ou </w:t>
      </w:r>
      <w:r w:rsidRPr="008B4B85">
        <w:rPr>
          <w:b/>
        </w:rPr>
        <w:t>Test suisse de solvabilité</w:t>
      </w:r>
      <w:r>
        <w:t xml:space="preserve">— est </w:t>
      </w:r>
      <w:r w:rsidR="007975EC">
        <w:t>présenté</w:t>
      </w:r>
      <w:r w:rsidR="00CE2383">
        <w:t>e</w:t>
      </w:r>
      <w:r w:rsidR="007975EC">
        <w:t xml:space="preserve"> par François-Xavier de Rossi (FINMA).</w:t>
      </w:r>
      <w:r w:rsidR="000B462E">
        <w:t xml:space="preserve"> </w:t>
      </w:r>
      <w:r w:rsidR="007975EC">
        <w:t xml:space="preserve"> La documentation sur le SST est </w:t>
      </w:r>
      <w:r>
        <w:t xml:space="preserve">disponible en français sur le site FINMA, ici : </w:t>
      </w:r>
      <w:hyperlink r:id="rId9" w:history="1">
        <w:r w:rsidRPr="008B4B85">
          <w:rPr>
            <w:rStyle w:val="Lienhypertexte"/>
            <w:sz w:val="10"/>
          </w:rPr>
          <w:t>Test suisse de solvabilité (SST) | FINMA</w:t>
        </w:r>
      </w:hyperlink>
      <w:r>
        <w:t>.  Le SST est entré en vigueur le 01.0</w:t>
      </w:r>
      <w:r w:rsidR="00910784">
        <w:t>1</w:t>
      </w:r>
      <w:r>
        <w:t>.201</w:t>
      </w:r>
      <w:r w:rsidR="00910784">
        <w:t>1</w:t>
      </w:r>
      <w:r w:rsidR="00AD6A43">
        <w:t xml:space="preserve"> et compren</w:t>
      </w:r>
      <w:r w:rsidR="002272FD">
        <w:t>d</w:t>
      </w:r>
      <w:r w:rsidR="00AD6A43">
        <w:t xml:space="preserve"> un « modèle standard » </w:t>
      </w:r>
      <w:r w:rsidR="00B477C3">
        <w:t xml:space="preserve">—applicable </w:t>
      </w:r>
      <w:r w:rsidR="00B477C3">
        <w:rPr>
          <w:i/>
        </w:rPr>
        <w:t xml:space="preserve">a priori </w:t>
      </w:r>
      <w:r w:rsidR="00B477C3">
        <w:t>à la majorité des assureurs</w:t>
      </w:r>
      <w:r w:rsidR="007A7B56">
        <w:t>—</w:t>
      </w:r>
      <w:r w:rsidR="00B477C3">
        <w:t xml:space="preserve"> et </w:t>
      </w:r>
      <w:r w:rsidR="00910784">
        <w:t>des</w:t>
      </w:r>
      <w:r w:rsidR="00B477C3">
        <w:t xml:space="preserve"> « modèle</w:t>
      </w:r>
      <w:r w:rsidR="00910784">
        <w:t>s</w:t>
      </w:r>
      <w:r w:rsidR="00B477C3">
        <w:t xml:space="preserve"> interne</w:t>
      </w:r>
      <w:r w:rsidR="00910784">
        <w:t>s</w:t>
      </w:r>
      <w:r w:rsidR="00B477C3">
        <w:t> » applicable</w:t>
      </w:r>
      <w:r w:rsidR="00910784">
        <w:t>s</w:t>
      </w:r>
      <w:r w:rsidR="00B477C3">
        <w:t xml:space="preserve"> à des assureurs </w:t>
      </w:r>
      <w:r w:rsidR="000B462E">
        <w:t>spécifiques</w:t>
      </w:r>
      <w:r w:rsidR="00B477C3">
        <w:t xml:space="preserve">.  Les actifs et passifs sont évalués en valeur </w:t>
      </w:r>
      <w:r w:rsidR="00910784">
        <w:t xml:space="preserve">conforme au </w:t>
      </w:r>
      <w:r w:rsidR="00B477C3">
        <w:t xml:space="preserve">marché, et l’exigence de capital </w:t>
      </w:r>
      <w:r w:rsidR="007A7B56">
        <w:t xml:space="preserve">agrège des exigences </w:t>
      </w:r>
      <w:r w:rsidR="00B477C3">
        <w:t>correspondant aux riques d’assurance (risque de souscription), de marché</w:t>
      </w:r>
      <w:r w:rsidR="007A7B56">
        <w:t>,</w:t>
      </w:r>
      <w:r w:rsidR="00B477C3">
        <w:t xml:space="preserve"> et de crédit.  Le capital cible est déterminé de façon à couvrir la moyenne des pertes des 1% d</w:t>
      </w:r>
      <w:r w:rsidR="000B462E">
        <w:t>’</w:t>
      </w:r>
      <w:r w:rsidR="007A7B56">
        <w:t xml:space="preserve">hypothèses </w:t>
      </w:r>
      <w:r w:rsidR="00B477C3">
        <w:t xml:space="preserve">les plus défavorables (cf. d9). Chaque « module » ou « sous-module » de risque </w:t>
      </w:r>
      <w:r w:rsidR="007A7B56">
        <w:t xml:space="preserve">est décrit dans une </w:t>
      </w:r>
      <w:r w:rsidR="00B477C3">
        <w:t xml:space="preserve">fiche technique disponible en français, </w:t>
      </w:r>
      <w:r w:rsidR="007A7B56">
        <w:t xml:space="preserve">téléchargeable </w:t>
      </w:r>
      <w:r w:rsidR="00ED33DE">
        <w:t>en écrivant sur un moteur de recherche les titres indiqué en d12. Les exigence</w:t>
      </w:r>
      <w:r w:rsidR="007A7B56">
        <w:t>s</w:t>
      </w:r>
      <w:r w:rsidR="00ED33DE">
        <w:t xml:space="preserve"> de capital sont </w:t>
      </w:r>
      <w:r w:rsidR="007A7B56">
        <w:t xml:space="preserve">calculées </w:t>
      </w:r>
      <w:r w:rsidR="00ED33DE">
        <w:lastRenderedPageBreak/>
        <w:t>selon une méthode stochastique, pas forcément plus compliquée</w:t>
      </w:r>
      <w:r w:rsidR="007A7B56">
        <w:t xml:space="preserve"> à mettre en œuvre qu’une </w:t>
      </w:r>
      <w:r w:rsidR="00ED33DE">
        <w:t>méthode par facteurs ou par scénarios</w:t>
      </w:r>
      <w:r w:rsidR="00910784">
        <w:t xml:space="preserve"> au vu des outils fournis par FINMA</w:t>
      </w:r>
      <w:r w:rsidR="00D04914">
        <w:t xml:space="preserve">, et </w:t>
      </w:r>
      <w:r w:rsidR="007A7B56">
        <w:t xml:space="preserve">dont la compréhension </w:t>
      </w:r>
      <w:r w:rsidR="00D04914">
        <w:t xml:space="preserve">ne nécessite </w:t>
      </w:r>
      <w:r w:rsidR="00D04914">
        <w:rPr>
          <w:i/>
        </w:rPr>
        <w:t>a priori</w:t>
      </w:r>
      <w:r w:rsidR="00D04914">
        <w:t xml:space="preserve"> que des notions de base d’un cours de probabilités &amp; statistiques (variance, distribution</w:t>
      </w:r>
      <w:r w:rsidR="00910784">
        <w:t>s de probabilités</w:t>
      </w:r>
      <w:r w:rsidR="00D04914">
        <w:t>, corrélations)</w:t>
      </w:r>
      <w:r w:rsidR="00ED33DE">
        <w:t xml:space="preserve">. </w:t>
      </w:r>
    </w:p>
    <w:p w:rsidR="005673D6" w:rsidRDefault="005673D6" w:rsidP="005673D6">
      <w:pPr>
        <w:pStyle w:val="Paragraphedeliste"/>
      </w:pPr>
    </w:p>
    <w:p w:rsidR="00BC4A07" w:rsidRDefault="005673D6" w:rsidP="00BC4A07">
      <w:pPr>
        <w:pStyle w:val="Paragraphedeliste"/>
        <w:numPr>
          <w:ilvl w:val="0"/>
          <w:numId w:val="3"/>
        </w:numPr>
        <w:spacing w:before="360"/>
        <w:ind w:left="567" w:hanging="567"/>
      </w:pPr>
      <w:r>
        <w:t xml:space="preserve">Le modèle S2 et son application en France </w:t>
      </w:r>
      <w:r w:rsidR="007A7B56">
        <w:t xml:space="preserve">sont </w:t>
      </w:r>
      <w:r>
        <w:t xml:space="preserve">présentés par Paul Scherer (ACPR), qui </w:t>
      </w:r>
      <w:r w:rsidR="007A7B56">
        <w:t xml:space="preserve">rappelle </w:t>
      </w:r>
      <w:r>
        <w:t>l’architecture en 3 pilliers du dispositif</w:t>
      </w:r>
      <w:r w:rsidR="00D516E9">
        <w:t xml:space="preserve"> (cf. aussi l’item 6)</w:t>
      </w:r>
      <w:r>
        <w:t> : les exigences quantitatives (P</w:t>
      </w:r>
      <w:r w:rsidR="007A7B56">
        <w:t>1</w:t>
      </w:r>
      <w:r w:rsidR="00E0201C">
        <w:t> : valorisation des éléments de bilan, niveaux et classification des fonds propres, calcul des exigences de capital —le CSR</w:t>
      </w:r>
      <w:r w:rsidR="007A7B56">
        <w:t xml:space="preserve"> ou SCR</w:t>
      </w:r>
      <w:r w:rsidR="00E0201C">
        <w:t xml:space="preserve">, Capital de solvabilité requis— </w:t>
      </w:r>
      <w:r w:rsidR="000B462E">
        <w:t xml:space="preserve">ou bien </w:t>
      </w:r>
      <w:r w:rsidR="00E0201C">
        <w:t xml:space="preserve">par une formule standard, </w:t>
      </w:r>
      <w:r w:rsidR="000B462E">
        <w:t xml:space="preserve">ou bien </w:t>
      </w:r>
      <w:r w:rsidR="00E0201C">
        <w:t>en utilisant des paramètres propres à l’assureur ou un modèle interne</w:t>
      </w:r>
      <w:r>
        <w:t>)</w:t>
      </w:r>
      <w:r w:rsidR="00D516E9">
        <w:t> ;</w:t>
      </w:r>
      <w:r>
        <w:t xml:space="preserve"> les exigences qualitatives (</w:t>
      </w:r>
      <w:r w:rsidR="007A7B56">
        <w:t>P2</w:t>
      </w:r>
      <w:r>
        <w:t> : règles de gouvernance et « principe de personne prudente »)</w:t>
      </w:r>
      <w:r w:rsidR="00D516E9">
        <w:t> ;</w:t>
      </w:r>
      <w:r>
        <w:t xml:space="preserve"> les exigences de transparence &amp; communication à l’autorité de contrôle et au public</w:t>
      </w:r>
      <w:r w:rsidR="007A7B56">
        <w:t xml:space="preserve"> (Pilier 3</w:t>
      </w:r>
      <w:r>
        <w:t xml:space="preserve">). </w:t>
      </w:r>
    </w:p>
    <w:p w:rsidR="00214FF8" w:rsidRDefault="00B94D98" w:rsidP="00264CB5">
      <w:pPr>
        <w:spacing w:before="120"/>
        <w:ind w:left="567"/>
      </w:pPr>
      <w:r>
        <w:rPr>
          <w:i/>
        </w:rPr>
        <w:t xml:space="preserve">Discussion.  </w:t>
      </w:r>
      <w:r w:rsidR="00BC4A07">
        <w:t xml:space="preserve">Dans S2, le PPP —principe de la personne prudente— ne remplace pas à proprement parler les règles sur actifs, il les complète plutôt.  Les différents types d’actifs génèrent, dans la formule standard, des chargements en capital progressifs, qui conduisent déjà l’assureur à limiter la détention d’une même catégorie d’actifs ou d’actifs issus d’un même émetteur, mais le PPP est une sorte de « voiture-balai » qui complète les règles de chargements en capital, et peut conduire </w:t>
      </w:r>
      <w:r w:rsidR="000B462E">
        <w:t xml:space="preserve">(càd obliger) </w:t>
      </w:r>
      <w:r w:rsidR="00BC4A07">
        <w:t>l’assureur à limiter la détention d’un actif en</w:t>
      </w:r>
      <w:r w:rsidR="000B462E">
        <w:t xml:space="preserve"> quantité moindre que ce que l’assureur aurait déterminée à partir de la simple </w:t>
      </w:r>
      <w:r w:rsidR="00264CB5">
        <w:t>formule standard.</w:t>
      </w:r>
    </w:p>
    <w:p w:rsidR="008B2171" w:rsidRDefault="000B462E" w:rsidP="008B2171">
      <w:pPr>
        <w:pStyle w:val="Paragraphedeliste"/>
        <w:numPr>
          <w:ilvl w:val="0"/>
          <w:numId w:val="3"/>
        </w:numPr>
        <w:spacing w:before="360"/>
        <w:ind w:left="567" w:hanging="567"/>
      </w:pPr>
      <w:r>
        <w:t>Jérôme Bourtembourg (BNB) présente l</w:t>
      </w:r>
      <w:r w:rsidR="00F46D42">
        <w:t>e standard international de capital de l’AICA</w:t>
      </w:r>
      <w:r w:rsidR="007A7B56">
        <w:t xml:space="preserve"> ou </w:t>
      </w:r>
      <w:r w:rsidR="00F46D42">
        <w:t>ICS —</w:t>
      </w:r>
      <w:r w:rsidR="00F46D42">
        <w:rPr>
          <w:i/>
        </w:rPr>
        <w:t>International Capital Standard</w:t>
      </w:r>
      <w:r w:rsidR="007A7B56">
        <w:t xml:space="preserve">. </w:t>
      </w:r>
      <w:r>
        <w:t xml:space="preserve"> </w:t>
      </w:r>
      <w:r w:rsidR="007A7B56">
        <w:t xml:space="preserve">L’ICS </w:t>
      </w:r>
      <w:r w:rsidR="00C67FCA">
        <w:t>ne s’appliquera, stricto sensu, qu’aux IAIG —« Grands groupes internationaux d’assurance »</w:t>
      </w:r>
      <w:r w:rsidR="00CE2383">
        <w:t xml:space="preserve"> ou GGIA</w:t>
      </w:r>
      <w:r w:rsidR="00D516E9">
        <w:t xml:space="preserve"> (voir aussi l’item 15)</w:t>
      </w:r>
      <w:r>
        <w:t>—</w:t>
      </w:r>
      <w:r w:rsidR="00C67FCA">
        <w:t xml:space="preserve">, définis comme des groupes </w:t>
      </w:r>
      <w:r w:rsidR="007975EC">
        <w:t xml:space="preserve">d’assurance </w:t>
      </w:r>
      <w:r w:rsidR="00C67FCA">
        <w:t>ayant au moins 10% de leur primes dans au moins 2 pays autres que celui d</w:t>
      </w:r>
      <w:r w:rsidR="007975EC">
        <w:t>e leur</w:t>
      </w:r>
      <w:r w:rsidR="00C67FCA">
        <w:t xml:space="preserve"> siège</w:t>
      </w:r>
      <w:r w:rsidR="007975EC">
        <w:t>,</w:t>
      </w:r>
      <w:r w:rsidR="00C67FCA">
        <w:t xml:space="preserve"> et dont primes &amp; tota</w:t>
      </w:r>
      <w:r w:rsidR="00CE2383">
        <w:t>ux</w:t>
      </w:r>
      <w:r w:rsidR="00C67FCA">
        <w:t xml:space="preserve"> de bilan dépas</w:t>
      </w:r>
      <w:r w:rsidR="007975EC">
        <w:t xml:space="preserve">sent, respectivement, 10 et 50 milliards de </w:t>
      </w:r>
      <w:r w:rsidR="00C67FCA">
        <w:t>US</w:t>
      </w:r>
      <w:r w:rsidR="007975EC">
        <w:t>$</w:t>
      </w:r>
      <w:r w:rsidR="007775CD">
        <w:t>.  Cet ICS, toutefois, pourra aussi être appliqué</w:t>
      </w:r>
      <w:r w:rsidR="00C67FCA">
        <w:t xml:space="preserve"> facultativement à tous autres assureurs</w:t>
      </w:r>
      <w:r w:rsidR="007975EC">
        <w:t xml:space="preserve"> —d’où l’intérêt de ce standard</w:t>
      </w:r>
      <w:r w:rsidR="00D516E9">
        <w:t xml:space="preserve"> ICS</w:t>
      </w:r>
      <w:r w:rsidR="00CE2383">
        <w:t xml:space="preserve">, imposant (pour les GGIA) ou proposant (pour les autres assureurs) </w:t>
      </w:r>
      <w:r w:rsidR="00C67FCA">
        <w:t xml:space="preserve">une norme </w:t>
      </w:r>
      <w:r w:rsidR="00CE2383">
        <w:t xml:space="preserve">mondiale </w:t>
      </w:r>
      <w:r w:rsidR="00C67FCA">
        <w:t>commune de solvabilité</w:t>
      </w:r>
      <w:r w:rsidR="00437558">
        <w:t xml:space="preserve">.  Les travaux de l’AICA sur un tel standard ont commencé en 2013 (sur requête du Conseil de stabilité financière) et s’achèvent donc en 2024, après une dernière consultation publique de l’AICA terminée en septembre 2023.  L’ICS tiendra lieu, pour les </w:t>
      </w:r>
      <w:r w:rsidR="00CE2383">
        <w:t>GGIA</w:t>
      </w:r>
      <w:r w:rsidR="00437558">
        <w:t xml:space="preserve">, de </w:t>
      </w:r>
      <w:r w:rsidR="00812DE3">
        <w:t xml:space="preserve">PCR </w:t>
      </w:r>
      <w:r w:rsidR="00437558">
        <w:t xml:space="preserve">—« capital de solvabilité </w:t>
      </w:r>
      <w:r w:rsidR="00812DE3">
        <w:t>prescrit </w:t>
      </w:r>
      <w:r w:rsidR="00437558">
        <w:t>» (</w:t>
      </w:r>
      <w:r w:rsidR="00437558">
        <w:rPr>
          <w:i/>
        </w:rPr>
        <w:t>Prescribed Capital Requirement</w:t>
      </w:r>
      <w:r w:rsidR="00437558">
        <w:t xml:space="preserve">)— </w:t>
      </w:r>
      <w:r w:rsidR="007975EC">
        <w:t xml:space="preserve">tel que défini </w:t>
      </w:r>
      <w:r>
        <w:t xml:space="preserve">au </w:t>
      </w:r>
      <w:r w:rsidR="00437558">
        <w:t>PBA 17</w:t>
      </w:r>
      <w:r w:rsidR="00812DE3">
        <w:t>.4</w:t>
      </w:r>
      <w:r w:rsidR="00437558">
        <w:t>.</w:t>
      </w:r>
    </w:p>
    <w:p w:rsidR="008B2171" w:rsidRDefault="008B2171" w:rsidP="008B2171">
      <w:pPr>
        <w:pStyle w:val="Paragraphedeliste"/>
      </w:pPr>
    </w:p>
    <w:p w:rsidR="007975EC" w:rsidRDefault="004F5E5A" w:rsidP="008B2171">
      <w:pPr>
        <w:pStyle w:val="Paragraphedeliste"/>
        <w:spacing w:before="120"/>
        <w:ind w:left="567"/>
        <w:contextualSpacing w:val="0"/>
      </w:pPr>
      <w:r>
        <w:t>Les éléments de bilan de l’ICS seront calculés sur la base des « principes comptables généralement reconnus » (GAAP) consolidés ; les passifs d’assurance seront la somme d’une « meilleure estimation » et d’une « marge de risque ». Les fonds propres seront catégorisés en 2 niveaux selon leur permanence, disponibilité à absorber les pertes</w:t>
      </w:r>
      <w:r w:rsidR="007975EC">
        <w:t>,</w:t>
      </w:r>
      <w:r>
        <w:t xml:space="preserve"> etc. </w:t>
      </w:r>
      <w:r w:rsidR="00812DE3">
        <w:t xml:space="preserve"> (nb.</w:t>
      </w:r>
      <w:r w:rsidR="00BC6839">
        <w:t xml:space="preserve"> : en UE, la catégorisation se fait en </w:t>
      </w:r>
      <w:r w:rsidR="00812DE3">
        <w:t xml:space="preserve">3 niveaux </w:t>
      </w:r>
      <w:r w:rsidR="00BC6839">
        <w:t>—</w:t>
      </w:r>
      <w:r w:rsidR="00812DE3">
        <w:t>cf. d8 de l’item 8).</w:t>
      </w:r>
    </w:p>
    <w:p w:rsidR="004F5E5A" w:rsidRDefault="004F5E5A" w:rsidP="008B2171">
      <w:pPr>
        <w:pStyle w:val="Paragraphedeliste"/>
        <w:spacing w:before="120"/>
        <w:ind w:left="567"/>
        <w:contextualSpacing w:val="0"/>
      </w:pPr>
      <w:r>
        <w:t xml:space="preserve">Quant aux </w:t>
      </w:r>
      <w:r>
        <w:rPr>
          <w:b/>
        </w:rPr>
        <w:t xml:space="preserve">exigences </w:t>
      </w:r>
      <w:r>
        <w:t>de fonds propres (de capital), elles agrégeront des « sous-exigences » portant sur le risque de souscription ou d’assurance, le risque de marché, le risque de crédit et le risque opérationnel, et seront calibrées pour couvrir sur 1 an une « valeur en risque » (VaR) de 99,5%.</w:t>
      </w:r>
    </w:p>
    <w:p w:rsidR="004F5E5A" w:rsidRDefault="004F5E5A" w:rsidP="004F5E5A">
      <w:pPr>
        <w:pStyle w:val="Paragraphedeliste"/>
      </w:pPr>
    </w:p>
    <w:p w:rsidR="008A4C44" w:rsidRDefault="007775CD" w:rsidP="00812DE3">
      <w:pPr>
        <w:pStyle w:val="Paragraphedeliste"/>
        <w:numPr>
          <w:ilvl w:val="0"/>
          <w:numId w:val="3"/>
        </w:numPr>
        <w:spacing w:before="360"/>
        <w:ind w:left="567" w:hanging="567"/>
      </w:pPr>
      <w:r>
        <w:lastRenderedPageBreak/>
        <w:t xml:space="preserve">Numérisation en assurance.  </w:t>
      </w:r>
    </w:p>
    <w:p w:rsidR="006F2281" w:rsidRDefault="007775CD" w:rsidP="0065117D">
      <w:pPr>
        <w:pStyle w:val="Paragraphedeliste"/>
        <w:numPr>
          <w:ilvl w:val="0"/>
          <w:numId w:val="11"/>
        </w:numPr>
        <w:ind w:left="568" w:hanging="284"/>
      </w:pPr>
      <w:r>
        <w:t>Julien Reid, de l’AMF du Québec</w:t>
      </w:r>
      <w:r w:rsidR="003A3D14">
        <w:t xml:space="preserve">, </w:t>
      </w:r>
      <w:r w:rsidR="0063498D">
        <w:t xml:space="preserve">présente </w:t>
      </w:r>
      <w:r w:rsidR="003A3D14">
        <w:t>les opportunités, risques &amp; enjeux de l’</w:t>
      </w:r>
      <w:r w:rsidR="003A3D14" w:rsidRPr="008A4C44">
        <w:rPr>
          <w:b/>
        </w:rPr>
        <w:t xml:space="preserve">intelligence artificielle </w:t>
      </w:r>
      <w:r w:rsidR="003A3D14" w:rsidRPr="003A3D14">
        <w:t>(IA)</w:t>
      </w:r>
      <w:r w:rsidR="003A3D14" w:rsidRPr="008A4C44">
        <w:rPr>
          <w:b/>
        </w:rPr>
        <w:t xml:space="preserve"> </w:t>
      </w:r>
      <w:r w:rsidR="003A3D14">
        <w:t>pour contrôle</w:t>
      </w:r>
      <w:r w:rsidR="007975EC">
        <w:t>urs d’</w:t>
      </w:r>
      <w:r w:rsidR="0063498D">
        <w:t>assurance</w:t>
      </w:r>
      <w:r w:rsidR="003A3D14">
        <w:t>, en partant de l’exemple québécois.  Une « ligne directrice » devrait être adoptée en 2024 (un hyperlien sera publié sur le site du GCAF), précédée pa</w:t>
      </w:r>
      <w:r w:rsidR="003A3D14" w:rsidRPr="00BB7E13">
        <w:t xml:space="preserve">r un document de réflexion et de discussion </w:t>
      </w:r>
      <w:r w:rsidR="0063498D" w:rsidRPr="00BB7E13">
        <w:t>déjà disponible</w:t>
      </w:r>
      <w:r w:rsidR="00BB7E13">
        <w:t xml:space="preserve"> —voir ici, </w:t>
      </w:r>
      <w:hyperlink r:id="rId10" w:history="1">
        <w:r w:rsidR="00BB7E13" w:rsidRPr="00BB7E13">
          <w:rPr>
            <w:rStyle w:val="Lienhypertexte"/>
            <w:sz w:val="10"/>
          </w:rPr>
          <w:t>Document de réflexion et de discussion / Meilleures pratiques pour l’utilisation responsable de l’IA dans le secteur financier (lautorite.qc.ca)</w:t>
        </w:r>
      </w:hyperlink>
      <w:r w:rsidR="003A3D14">
        <w:t>.  L’IA présente un potentiel significatif pour les assureurs (ex. suivi de la conformité, aide à l’audit interne…)</w:t>
      </w:r>
      <w:r w:rsidR="0063498D">
        <w:t xml:space="preserve"> et</w:t>
      </w:r>
      <w:r w:rsidR="003A3D14">
        <w:t xml:space="preserve"> pour les </w:t>
      </w:r>
      <w:r w:rsidR="0063498D">
        <w:t>contrôleurs</w:t>
      </w:r>
      <w:r w:rsidR="003A3D14">
        <w:t xml:space="preserve">, mais aussi des risques —dont certains </w:t>
      </w:r>
      <w:r w:rsidR="0063498D">
        <w:t xml:space="preserve">préexistaient à l’IA mais pourraient être </w:t>
      </w:r>
      <w:r w:rsidR="003A3D14">
        <w:t xml:space="preserve">amplifiés (ex. traitement des données personnelles). </w:t>
      </w:r>
      <w:r w:rsidR="008A4C44">
        <w:t xml:space="preserve"> Un code éthique sera rendu obligatoire pour tous les acteurs.</w:t>
      </w:r>
    </w:p>
    <w:p w:rsidR="008A4C44" w:rsidRDefault="008A4C44" w:rsidP="008A4C44">
      <w:pPr>
        <w:pStyle w:val="Paragraphedeliste"/>
        <w:rPr>
          <w:i/>
        </w:rPr>
      </w:pPr>
    </w:p>
    <w:p w:rsidR="0063498D" w:rsidRDefault="008A4C44" w:rsidP="00812DE3">
      <w:pPr>
        <w:pStyle w:val="Paragraphedeliste"/>
        <w:ind w:left="568" w:hanging="284"/>
      </w:pPr>
      <w:r>
        <w:t xml:space="preserve">(b) Timothée Dufour, de l’ACPR, </w:t>
      </w:r>
      <w:r w:rsidR="0063498D">
        <w:t xml:space="preserve">expose (i) </w:t>
      </w:r>
      <w:r>
        <w:t>les tendances et évolutions du cadre réglementaire des assurtechs</w:t>
      </w:r>
      <w:r w:rsidR="0063498D">
        <w:t>, et (ii) l’assurance paramétrique ou indicielle</w:t>
      </w:r>
      <w:r>
        <w:t xml:space="preserve">. </w:t>
      </w:r>
    </w:p>
    <w:p w:rsidR="0063498D" w:rsidRDefault="006F2281" w:rsidP="00E24970">
      <w:pPr>
        <w:pStyle w:val="Paragraphedeliste"/>
        <w:ind w:left="964" w:hanging="397"/>
      </w:pPr>
      <w:r>
        <w:t xml:space="preserve">(i) </w:t>
      </w:r>
      <w:r w:rsidR="00E24970">
        <w:tab/>
      </w:r>
      <w:r w:rsidR="00FE541F">
        <w:t xml:space="preserve">L’ACPR a mis en place un « portail Fintech » facilitant les démarches d’enregistrement ou d’agrément des organismes Fintech. </w:t>
      </w:r>
      <w:r w:rsidR="0063498D">
        <w:t xml:space="preserve">Concernant </w:t>
      </w:r>
      <w:r w:rsidR="00FE541F">
        <w:t>l’IA en assurance, des discussions au niveau UE devrai</w:t>
      </w:r>
      <w:r w:rsidR="0063498D">
        <w:t>en</w:t>
      </w:r>
      <w:r w:rsidR="00FE541F">
        <w:t>t aboutir à des normes de protection minimales, concernant notamment l’évaluation de la solvabilité ou de la santé des personnes physiques</w:t>
      </w:r>
      <w:r w:rsidR="00910784">
        <w:t xml:space="preserve"> —voir </w:t>
      </w:r>
      <w:r w:rsidR="00D15C20">
        <w:t>ici :</w:t>
      </w:r>
      <w:r w:rsidR="00D15C20" w:rsidRPr="00D15C20">
        <w:t xml:space="preserve"> </w:t>
      </w:r>
      <w:hyperlink r:id="rId11" w:history="1">
        <w:r w:rsidR="00D15C20" w:rsidRPr="0065117D">
          <w:rPr>
            <w:rStyle w:val="Lienhypertexte"/>
            <w:sz w:val="8"/>
          </w:rPr>
          <w:t>eur-lex.europa.eu/legal-content/FR/TXT/HTML/?uri=CELEX:52021PC0206</w:t>
        </w:r>
      </w:hyperlink>
      <w:r w:rsidR="00D15C20">
        <w:t>, Proposition de règlement concernant l’intelligence artificielle</w:t>
      </w:r>
      <w:r w:rsidR="00FE541F">
        <w:t xml:space="preserve">. La conformité au règlement UE des systèmes d’IA devrait être vérifiée par chaque autorité sectorielle (donc par l’ACPR pour l’IA mise en œuvre en assurance).  </w:t>
      </w:r>
    </w:p>
    <w:p w:rsidR="008A4C44" w:rsidRDefault="0063498D" w:rsidP="00E24970">
      <w:pPr>
        <w:pStyle w:val="Paragraphedeliste"/>
        <w:ind w:left="964" w:hanging="397"/>
      </w:pPr>
      <w:r>
        <w:t xml:space="preserve">(ii) </w:t>
      </w:r>
      <w:r w:rsidR="00E24970">
        <w:tab/>
      </w:r>
      <w:r>
        <w:t>L</w:t>
      </w:r>
      <w:r w:rsidR="00FE541F">
        <w:t>’assurance paramétrique ou indicielle</w:t>
      </w:r>
      <w:r w:rsidR="00FB1E2A">
        <w:t xml:space="preserve"> </w:t>
      </w:r>
      <w:r>
        <w:t xml:space="preserve">présente l’avantage d’être facile </w:t>
      </w:r>
      <w:r w:rsidR="00FB1E2A">
        <w:t>à mettre en œuvre</w:t>
      </w:r>
      <w:r>
        <w:t xml:space="preserve"> —facilité accrue </w:t>
      </w:r>
      <w:r w:rsidR="00FB1E2A">
        <w:t>par la multiplication des capteurs météorologiques ou autres</w:t>
      </w:r>
      <w:r>
        <w:t xml:space="preserve">— et de proposer une </w:t>
      </w:r>
      <w:r w:rsidR="00FB1E2A">
        <w:t xml:space="preserve">définition </w:t>
      </w:r>
      <w:r>
        <w:t xml:space="preserve">en général </w:t>
      </w:r>
      <w:r w:rsidR="00FB1E2A">
        <w:t>claire et incontestable de l’événement garanti (ex. vent soufflant à plus de 150km/h)</w:t>
      </w:r>
      <w:r>
        <w:t xml:space="preserve">. Mais des </w:t>
      </w:r>
      <w:r w:rsidR="00FB1E2A">
        <w:t xml:space="preserve">problématiques </w:t>
      </w:r>
      <w:r>
        <w:t xml:space="preserve">peuvent apparaitre </w:t>
      </w:r>
      <w:r w:rsidR="00FB1E2A">
        <w:t>par rapport au principe indemnitaire</w:t>
      </w:r>
      <w:r w:rsidR="00B02F2D">
        <w:t>.</w:t>
      </w:r>
      <w:r w:rsidR="004334B5">
        <w:t xml:space="preserve"> </w:t>
      </w:r>
    </w:p>
    <w:p w:rsidR="00EB4244" w:rsidRDefault="00EB4244" w:rsidP="008A4C44">
      <w:pPr>
        <w:pStyle w:val="Paragraphedeliste"/>
      </w:pPr>
    </w:p>
    <w:p w:rsidR="00F0361E" w:rsidRDefault="00812DE3" w:rsidP="00812DE3">
      <w:pPr>
        <w:pStyle w:val="Paragraphedeliste"/>
        <w:ind w:left="568" w:hanging="284"/>
      </w:pPr>
      <w:r>
        <w:t xml:space="preserve">(c) </w:t>
      </w:r>
      <w:r w:rsidR="00EB4244">
        <w:t xml:space="preserve">Pascale Lamb, d’A2ii, </w:t>
      </w:r>
      <w:r w:rsidR="00F0361E">
        <w:t xml:space="preserve">présente </w:t>
      </w:r>
    </w:p>
    <w:p w:rsidR="00F0361E" w:rsidRDefault="00F0361E" w:rsidP="00E24970">
      <w:pPr>
        <w:pStyle w:val="Paragraphedeliste"/>
        <w:ind w:left="964" w:hanging="397"/>
      </w:pPr>
      <w:r>
        <w:t xml:space="preserve">(i) </w:t>
      </w:r>
      <w:r w:rsidR="00E24970">
        <w:tab/>
      </w:r>
      <w:r w:rsidR="00EB4244">
        <w:t>les avantage</w:t>
      </w:r>
      <w:r>
        <w:t>s</w:t>
      </w:r>
      <w:r w:rsidR="00EB4244">
        <w:t xml:space="preserve"> et les risques de la numérisation </w:t>
      </w:r>
      <w:r>
        <w:t>en assurance</w:t>
      </w:r>
      <w:r w:rsidR="00EB4244">
        <w:t> : meilleure analyse des risques, souscription facilitée</w:t>
      </w:r>
      <w:r>
        <w:t>…</w:t>
      </w:r>
    </w:p>
    <w:p w:rsidR="00F0361E" w:rsidRDefault="00F0361E" w:rsidP="00E24970">
      <w:pPr>
        <w:pStyle w:val="Paragraphedeliste"/>
        <w:ind w:left="964" w:hanging="397"/>
      </w:pPr>
      <w:r>
        <w:t>(ii)</w:t>
      </w:r>
      <w:r w:rsidR="00E24970">
        <w:tab/>
      </w:r>
      <w:r w:rsidR="00982C22">
        <w:t>les ressources A2ii pour les contrôleurs.</w:t>
      </w:r>
      <w:r w:rsidRPr="00F0361E">
        <w:t xml:space="preserve"> </w:t>
      </w:r>
    </w:p>
    <w:p w:rsidR="008A4C44" w:rsidRDefault="008A4C44" w:rsidP="008A4C44">
      <w:pPr>
        <w:pStyle w:val="Paragraphedeliste"/>
      </w:pPr>
    </w:p>
    <w:p w:rsidR="00982C22" w:rsidRDefault="00982C22" w:rsidP="009362BD">
      <w:pPr>
        <w:pStyle w:val="Paragraphedeliste"/>
        <w:numPr>
          <w:ilvl w:val="0"/>
          <w:numId w:val="3"/>
        </w:numPr>
        <w:ind w:left="567" w:hanging="567"/>
      </w:pPr>
      <w:r>
        <w:t xml:space="preserve">La table ronde sur la </w:t>
      </w:r>
      <w:r w:rsidRPr="00BC0637">
        <w:rPr>
          <w:b/>
        </w:rPr>
        <w:t>numérisation des assurances</w:t>
      </w:r>
      <w:r>
        <w:t xml:space="preserve"> —</w:t>
      </w:r>
      <w:r w:rsidR="00BC0637">
        <w:t xml:space="preserve">en particulier, la </w:t>
      </w:r>
      <w:r>
        <w:t xml:space="preserve">RC auto, </w:t>
      </w:r>
      <w:r w:rsidR="00BC0637">
        <w:t xml:space="preserve">l’ensemble des </w:t>
      </w:r>
      <w:r>
        <w:t xml:space="preserve">assurances obligatoires…— </w:t>
      </w:r>
      <w:r w:rsidR="00F0361E">
        <w:t xml:space="preserve">est </w:t>
      </w:r>
      <w:r>
        <w:t xml:space="preserve">animée par la Direction nationale des assurances (DNA) du Togo, </w:t>
      </w:r>
      <w:r w:rsidR="00F0361E">
        <w:t xml:space="preserve">et accueille </w:t>
      </w:r>
      <w:r>
        <w:t>les présentations</w:t>
      </w:r>
      <w:r w:rsidR="00244DC7">
        <w:t> :</w:t>
      </w:r>
    </w:p>
    <w:p w:rsidR="00982C22" w:rsidRDefault="00982C22" w:rsidP="00E24970">
      <w:pPr>
        <w:pStyle w:val="Paragraphedeliste"/>
        <w:numPr>
          <w:ilvl w:val="0"/>
          <w:numId w:val="5"/>
        </w:numPr>
        <w:ind w:left="964" w:hanging="397"/>
      </w:pPr>
      <w:r>
        <w:t>de ARCA RDC</w:t>
      </w:r>
      <w:r w:rsidR="008B2E17">
        <w:t xml:space="preserve">. Alain Kaninda </w:t>
      </w:r>
      <w:r w:rsidR="00F0361E">
        <w:t xml:space="preserve">présente </w:t>
      </w:r>
      <w:r>
        <w:t xml:space="preserve">le SNECA —Système national d’émission des certificats d’assurance. </w:t>
      </w:r>
      <w:r w:rsidR="00244DC7">
        <w:t xml:space="preserve"> Le SNECA est une plateforme développée par l’ARCA qui génère des certificats d’assurance numérisés, sécurisés et traçables.  Chaque modification de contrat, indemnisation de sinistre… passe par la plateforme, ce qui facilite les contrôles d’autenticité des contrats (notamment pour les assurances obligatoires —</w:t>
      </w:r>
      <w:r w:rsidR="00BC0637">
        <w:t xml:space="preserve">la </w:t>
      </w:r>
      <w:r w:rsidR="00244DC7">
        <w:t xml:space="preserve">RC auto, mais aussi </w:t>
      </w:r>
      <w:r w:rsidR="00BC0637">
        <w:t xml:space="preserve">le </w:t>
      </w:r>
      <w:r w:rsidR="00F0361E">
        <w:t>contrôle de l’</w:t>
      </w:r>
      <w:r w:rsidR="00244DC7">
        <w:t>assurance des facultés à l’importation par les services des Douanes)</w:t>
      </w:r>
      <w:r w:rsidR="00F0361E">
        <w:t>,</w:t>
      </w:r>
      <w:r w:rsidR="00244DC7">
        <w:t xml:space="preserve"> et le suivi des indemnisations par l’</w:t>
      </w:r>
      <w:r w:rsidR="00BC0637">
        <w:t>ARCA</w:t>
      </w:r>
      <w:r w:rsidR="00244DC7">
        <w:t xml:space="preserve">. </w:t>
      </w:r>
      <w:r w:rsidR="00BC0637">
        <w:t xml:space="preserve"> </w:t>
      </w:r>
      <w:r w:rsidR="00244DC7">
        <w:t xml:space="preserve">Les contrôles peuvent se faire par QR code, mais aussi par </w:t>
      </w:r>
      <w:r w:rsidR="00244DC7" w:rsidRPr="0065117D">
        <w:t xml:space="preserve">SMS </w:t>
      </w:r>
      <w:r w:rsidR="00D15C20" w:rsidRPr="0065117D">
        <w:t xml:space="preserve">ou </w:t>
      </w:r>
      <w:r w:rsidR="00244DC7" w:rsidRPr="0065117D">
        <w:t>USSD</w:t>
      </w:r>
      <w:r w:rsidR="00244DC7">
        <w:t xml:space="preserve"> en l’absence de réseau internet (cf. d8</w:t>
      </w:r>
      <w:r w:rsidR="00D15C20">
        <w:t xml:space="preserve"> ; USSD = </w:t>
      </w:r>
      <w:r w:rsidR="00D15C20">
        <w:rPr>
          <w:i/>
        </w:rPr>
        <w:t>Unstructured Supplementary Service Data</w:t>
      </w:r>
      <w:r w:rsidR="00244DC7">
        <w:t>).</w:t>
      </w:r>
      <w:r w:rsidR="00BC0637">
        <w:t xml:space="preserve">   </w:t>
      </w:r>
    </w:p>
    <w:p w:rsidR="00982C22" w:rsidRDefault="00982C22" w:rsidP="00112405">
      <w:pPr>
        <w:pStyle w:val="Paragraphedeliste"/>
        <w:numPr>
          <w:ilvl w:val="0"/>
          <w:numId w:val="5"/>
        </w:numPr>
        <w:ind w:left="964" w:hanging="397"/>
      </w:pPr>
      <w:r>
        <w:t>de DNA Côte d’Ivoire</w:t>
      </w:r>
      <w:r w:rsidR="008B2E17">
        <w:t>.  Roger Kouakou Bah</w:t>
      </w:r>
      <w:r w:rsidR="00ED1F0C">
        <w:t xml:space="preserve"> </w:t>
      </w:r>
      <w:r w:rsidR="00F0361E">
        <w:t xml:space="preserve">présente </w:t>
      </w:r>
      <w:r w:rsidR="00ED1F0C">
        <w:t xml:space="preserve">le marché ivoirien </w:t>
      </w:r>
      <w:r w:rsidR="00F0361E">
        <w:t>des assurances : 34 </w:t>
      </w:r>
      <w:r w:rsidR="00ED1F0C">
        <w:t>assureurs</w:t>
      </w:r>
      <w:r w:rsidR="00F0361E">
        <w:t>,</w:t>
      </w:r>
      <w:r w:rsidR="00ED1F0C">
        <w:t xml:space="preserve"> 11 réassureurs, croissance annuelle 9,9%</w:t>
      </w:r>
      <w:r w:rsidR="00F0361E">
        <w:t xml:space="preserve"> (moyenne sur 5 ans)</w:t>
      </w:r>
      <w:r w:rsidR="00ED1F0C">
        <w:t>, taux de pénétration 1,6%</w:t>
      </w:r>
      <w:r w:rsidR="00F0361E">
        <w:t>.</w:t>
      </w:r>
      <w:r w:rsidR="00BC0637">
        <w:t xml:space="preserve"> </w:t>
      </w:r>
      <w:r w:rsidR="00F0361E">
        <w:t xml:space="preserve"> La </w:t>
      </w:r>
      <w:r w:rsidR="00ED1F0C">
        <w:t>RC auto représent</w:t>
      </w:r>
      <w:r w:rsidR="00F0361E">
        <w:t xml:space="preserve">e </w:t>
      </w:r>
      <w:r w:rsidR="00ED1F0C">
        <w:t xml:space="preserve">34% </w:t>
      </w:r>
      <w:r w:rsidR="00BC0637">
        <w:t xml:space="preserve">des primes </w:t>
      </w:r>
      <w:r w:rsidR="00ED1F0C">
        <w:t xml:space="preserve">non-vie, et la numérisation de la </w:t>
      </w:r>
      <w:r w:rsidR="00ED1F0C">
        <w:lastRenderedPageBreak/>
        <w:t xml:space="preserve">production pourrait </w:t>
      </w:r>
      <w:r w:rsidR="00BC0637">
        <w:t xml:space="preserve">favoriser </w:t>
      </w:r>
      <w:r w:rsidR="00ED1F0C">
        <w:t xml:space="preserve">une meilleure indemnisation des victimes. L’économie numérique est une priorité du gouvernement ivoirien (d8) et </w:t>
      </w:r>
      <w:r w:rsidR="00F0361E">
        <w:t xml:space="preserve">est aussi </w:t>
      </w:r>
      <w:r w:rsidR="00ED1F0C">
        <w:t>encouragée</w:t>
      </w:r>
      <w:r w:rsidR="00F0361E">
        <w:t>, en assurance,</w:t>
      </w:r>
      <w:r w:rsidR="00ED1F0C">
        <w:t xml:space="preserve"> par le régulateur communautaire CIMA (d10). La</w:t>
      </w:r>
      <w:r w:rsidR="00F0361E">
        <w:t xml:space="preserve"> délivranc</w:t>
      </w:r>
      <w:r w:rsidR="00ED1F0C">
        <w:t xml:space="preserve">e d’attestations d’assurance numériques sécurisées </w:t>
      </w:r>
      <w:r w:rsidR="008022C9">
        <w:t xml:space="preserve">réduirait la fraude (d11) et permettrait, </w:t>
      </w:r>
      <w:r w:rsidR="00305F3B">
        <w:t xml:space="preserve">pour les </w:t>
      </w:r>
      <w:r w:rsidR="008022C9">
        <w:t>accident</w:t>
      </w:r>
      <w:r w:rsidR="00305F3B">
        <w:t xml:space="preserve"> assurés</w:t>
      </w:r>
      <w:r w:rsidR="008022C9">
        <w:t xml:space="preserve">, une identification plus rapide de l’assureur du responsable </w:t>
      </w:r>
      <w:r w:rsidR="00305F3B">
        <w:t xml:space="preserve">de l’accident </w:t>
      </w:r>
      <w:r w:rsidR="008022C9">
        <w:t>et donc une meilleure indemnisation des victimes</w:t>
      </w:r>
      <w:r w:rsidR="00D03DFE">
        <w:t xml:space="preserve"> (d15)</w:t>
      </w:r>
    </w:p>
    <w:p w:rsidR="005047D7" w:rsidRDefault="00982C22" w:rsidP="00112405">
      <w:pPr>
        <w:pStyle w:val="Paragraphedeliste"/>
        <w:numPr>
          <w:ilvl w:val="0"/>
          <w:numId w:val="5"/>
        </w:numPr>
        <w:ind w:left="964" w:hanging="397"/>
      </w:pPr>
      <w:r>
        <w:t xml:space="preserve">de DNA Sénégal.  </w:t>
      </w:r>
      <w:r w:rsidR="00D03DFE">
        <w:t xml:space="preserve">Mamadou Deme </w:t>
      </w:r>
      <w:r w:rsidR="00F0361E">
        <w:t xml:space="preserve">présente </w:t>
      </w:r>
      <w:r w:rsidR="00D03DFE">
        <w:t>le marché sénégalais des assurances</w:t>
      </w:r>
      <w:r w:rsidR="00F0361E">
        <w:t> : 19 </w:t>
      </w:r>
      <w:r w:rsidR="00D03DFE">
        <w:t xml:space="preserve">assureurs non-vie, croissance 2022-2021 10,6%, taux de pénétration </w:t>
      </w:r>
      <w:r w:rsidR="00F0361E">
        <w:t xml:space="preserve">1,5%. La </w:t>
      </w:r>
      <w:r w:rsidR="00D03DFE">
        <w:t>RC auto représent</w:t>
      </w:r>
      <w:r w:rsidR="00F0361E">
        <w:t xml:space="preserve">e </w:t>
      </w:r>
      <w:r w:rsidR="00D03DFE">
        <w:t xml:space="preserve">25% </w:t>
      </w:r>
      <w:r w:rsidR="00BC0637">
        <w:t xml:space="preserve">des primes </w:t>
      </w:r>
      <w:r w:rsidR="00D03DFE">
        <w:t xml:space="preserve">non-vie (devancée par la maladie, 27% en 2022). La numérisation apparait d’autant plus opportune qu’une forte croissance annuelle (7%) du parc automobile est attendue </w:t>
      </w:r>
      <w:r w:rsidR="00BC0637">
        <w:t xml:space="preserve">sur </w:t>
      </w:r>
      <w:r w:rsidR="00D03DFE">
        <w:t>les prochaines années (d6). La numérisation inclurait les PV d’accident et la gestion des sinistres (d7)</w:t>
      </w:r>
      <w:r w:rsidR="00F0361E">
        <w:t> ; les attestation</w:t>
      </w:r>
      <w:r w:rsidR="004A6C3C">
        <w:t>s</w:t>
      </w:r>
      <w:r w:rsidR="00F0361E">
        <w:t xml:space="preserve"> d’assurance sont</w:t>
      </w:r>
      <w:r w:rsidR="00E10964">
        <w:t xml:space="preserve"> déjà numérisées depuis le 01.07.2023 (d9)</w:t>
      </w:r>
      <w:r w:rsidR="00F0361E">
        <w:t xml:space="preserve"> mals leur sécurité </w:t>
      </w:r>
      <w:r w:rsidR="004A6C3C">
        <w:t xml:space="preserve">doit être </w:t>
      </w:r>
      <w:r w:rsidR="00F0361E">
        <w:t>encore renforcée (d11, d13)</w:t>
      </w:r>
      <w:r w:rsidR="00E10964">
        <w:t xml:space="preserve">. La numérisation, riche de bénéfices attendus, </w:t>
      </w:r>
      <w:r w:rsidR="004A6C3C">
        <w:t xml:space="preserve">comporte aussi des défis </w:t>
      </w:r>
      <w:r w:rsidR="00BC0637">
        <w:t xml:space="preserve">(confidentialité des données, cyberattaques…) </w:t>
      </w:r>
      <w:r w:rsidR="004A6C3C">
        <w:t>accrus</w:t>
      </w:r>
      <w:r w:rsidR="00BC0637">
        <w:t>, voire entièrement nouveaux</w:t>
      </w:r>
      <w:r w:rsidR="00D03DFE">
        <w:t>.</w:t>
      </w:r>
    </w:p>
    <w:p w:rsidR="00982C22" w:rsidRDefault="00D03DFE" w:rsidP="005047D7">
      <w:pPr>
        <w:pStyle w:val="Paragraphedeliste"/>
        <w:ind w:left="1080"/>
      </w:pPr>
      <w:r>
        <w:t xml:space="preserve"> </w:t>
      </w:r>
    </w:p>
    <w:p w:rsidR="004A6C3C" w:rsidRDefault="004A6C3C" w:rsidP="009362BD">
      <w:pPr>
        <w:pStyle w:val="Paragraphedeliste"/>
        <w:numPr>
          <w:ilvl w:val="0"/>
          <w:numId w:val="3"/>
        </w:numPr>
        <w:ind w:left="567" w:hanging="567"/>
      </w:pPr>
      <w:r>
        <w:t>La r</w:t>
      </w:r>
      <w:r w:rsidR="007D2493">
        <w:t>encontre statutaire</w:t>
      </w:r>
      <w:r>
        <w:t xml:space="preserve"> évoque </w:t>
      </w:r>
      <w:r w:rsidR="007D2493">
        <w:t>les points suivants :</w:t>
      </w:r>
    </w:p>
    <w:p w:rsidR="007D2493" w:rsidRDefault="007D2493" w:rsidP="00112405">
      <w:pPr>
        <w:pStyle w:val="Paragraphedeliste"/>
        <w:numPr>
          <w:ilvl w:val="0"/>
          <w:numId w:val="10"/>
        </w:numPr>
        <w:ind w:left="964" w:hanging="397"/>
      </w:pPr>
      <w:r>
        <w:t>Renouvellement du bureau</w:t>
      </w:r>
      <w:r w:rsidR="00D14DFA">
        <w:t xml:space="preserve"> actuel : </w:t>
      </w:r>
      <w:r>
        <w:t xml:space="preserve">Siham Ramli (ACAPS, présidente), Max Assignon et Julien Reid (DNA Togo et AMF Québec, vice-présidents), François Tempé (ACPR, secrétaire).  </w:t>
      </w:r>
      <w:r w:rsidR="004A6C3C">
        <w:t xml:space="preserve">Une </w:t>
      </w:r>
      <w:r>
        <w:t>précédente communication</w:t>
      </w:r>
      <w:r w:rsidR="00D14DFA">
        <w:t xml:space="preserve"> aux Membres</w:t>
      </w:r>
      <w:r w:rsidR="004A6C3C">
        <w:t xml:space="preserve"> avait suggéré un </w:t>
      </w:r>
      <w:r>
        <w:t>renouvellement partiel du bureau</w:t>
      </w:r>
      <w:r w:rsidR="00D14DFA">
        <w:t>,</w:t>
      </w:r>
      <w:r>
        <w:t xml:space="preserve"> </w:t>
      </w:r>
      <w:r w:rsidR="004A6C3C">
        <w:t xml:space="preserve">et appelé tous </w:t>
      </w:r>
      <w:r w:rsidR="00BC0637">
        <w:t xml:space="preserve">intéressés </w:t>
      </w:r>
      <w:r w:rsidR="004A6C3C">
        <w:t>à se manifester</w:t>
      </w:r>
      <w:r>
        <w:t xml:space="preserve">.  </w:t>
      </w:r>
      <w:r w:rsidR="00305F3B">
        <w:t xml:space="preserve">Toutefois, aucun </w:t>
      </w:r>
      <w:r w:rsidR="00BC0637">
        <w:t xml:space="preserve">intérêt </w:t>
      </w:r>
      <w:r w:rsidR="00305F3B">
        <w:t xml:space="preserve">ne s’est </w:t>
      </w:r>
      <w:r w:rsidR="00BC0637">
        <w:t>manifesté</w:t>
      </w:r>
      <w:r w:rsidR="00305F3B">
        <w:t> ; l’AG reconduit donc</w:t>
      </w:r>
      <w:r>
        <w:t xml:space="preserve"> le bureau actuel. </w:t>
      </w:r>
      <w:r w:rsidR="00D650E1">
        <w:t xml:space="preserve"> D</w:t>
      </w:r>
      <w:r w:rsidR="004A6C3C">
        <w:t xml:space="preserve">’éventuels </w:t>
      </w:r>
      <w:r w:rsidR="00BC0637">
        <w:t xml:space="preserve">Membres </w:t>
      </w:r>
      <w:r w:rsidR="00D650E1">
        <w:t>intéressés pourraient se faire connaitre en cours d’année</w:t>
      </w:r>
      <w:r w:rsidR="004A6C3C">
        <w:t xml:space="preserve"> 2024</w:t>
      </w:r>
      <w:r w:rsidR="00D650E1">
        <w:t>, être provisoirement « désignés » en cours d’année</w:t>
      </w:r>
      <w:r w:rsidR="00D14DFA">
        <w:t xml:space="preserve">, puis </w:t>
      </w:r>
      <w:r w:rsidR="00D650E1">
        <w:t>être ratifiés lors de la réunion présentielle</w:t>
      </w:r>
      <w:r w:rsidR="00D14DFA">
        <w:t xml:space="preserve"> de </w:t>
      </w:r>
      <w:r w:rsidR="00D650E1">
        <w:t>janvier 2025 ;</w:t>
      </w:r>
    </w:p>
    <w:p w:rsidR="008B2171" w:rsidRDefault="008B2171" w:rsidP="00112405">
      <w:pPr>
        <w:pStyle w:val="Paragraphedeliste"/>
        <w:numPr>
          <w:ilvl w:val="0"/>
          <w:numId w:val="10"/>
        </w:numPr>
        <w:ind w:left="964" w:hanging="397"/>
      </w:pPr>
      <w:r>
        <w:t>Représentation des pays africains francophones au Comité Exécutif (ComEx) de l’AICA.  Les statuts de l’AICA fixent le nombre de représentants de chaque « région</w:t>
      </w:r>
      <w:r w:rsidR="001F07F5">
        <w:t xml:space="preserve"> AICA</w:t>
      </w:r>
      <w:r>
        <w:t xml:space="preserve"> » au ComEx de l’AICA, </w:t>
      </w:r>
      <w:r w:rsidR="001F07F5">
        <w:t>chaque région —</w:t>
      </w:r>
      <w:r w:rsidR="00305F3B">
        <w:t xml:space="preserve">en pratique, </w:t>
      </w:r>
      <w:r w:rsidR="001F07F5">
        <w:t>chaque coordinateur régional de chaque région— proposant</w:t>
      </w:r>
      <w:r>
        <w:t xml:space="preserve"> ses représentants</w:t>
      </w:r>
      <w:r w:rsidR="001F07F5">
        <w:t xml:space="preserve"> —</w:t>
      </w:r>
      <w:r>
        <w:t xml:space="preserve">au nombre de 2 pour </w:t>
      </w:r>
      <w:r w:rsidR="001F07F5">
        <w:t xml:space="preserve">la région </w:t>
      </w:r>
      <w:r>
        <w:t xml:space="preserve">Afrique sub-saharienne, </w:t>
      </w:r>
      <w:r w:rsidR="00305F3B">
        <w:t xml:space="preserve">coordonnée par </w:t>
      </w:r>
      <w:r>
        <w:t>IRA Kenya.  Fin octobre 2022</w:t>
      </w:r>
      <w:r w:rsidR="009922BE">
        <w:t>, au terme d’une procédure</w:t>
      </w:r>
      <w:r w:rsidR="00E428CA">
        <w:t xml:space="preserve"> que tous n’ont pas trouvée </w:t>
      </w:r>
      <w:r w:rsidR="009922BE">
        <w:t>ouverte, transparente ou motivée</w:t>
      </w:r>
      <w:r>
        <w:t xml:space="preserve">, </w:t>
      </w:r>
      <w:r w:rsidR="00E428CA">
        <w:t xml:space="preserve">IRA Kenya a proposé comme </w:t>
      </w:r>
      <w:r>
        <w:t>représentants</w:t>
      </w:r>
      <w:r w:rsidR="00E428CA">
        <w:t xml:space="preserve">, </w:t>
      </w:r>
      <w:r>
        <w:t>IRA Kenya et FISA Namibie</w:t>
      </w:r>
      <w:r w:rsidR="009922BE">
        <w:t xml:space="preserve">.  La </w:t>
      </w:r>
      <w:r>
        <w:t xml:space="preserve">Namibie compte 2,6 millions d’habitants, </w:t>
      </w:r>
      <w:r w:rsidR="00305F3B">
        <w:t xml:space="preserve">contre </w:t>
      </w:r>
      <w:r>
        <w:t xml:space="preserve">plus de 100 milions </w:t>
      </w:r>
      <w:r w:rsidR="00305F3B">
        <w:t xml:space="preserve">pour la RDC </w:t>
      </w:r>
      <w:r>
        <w:t>et plus de 200 millions</w:t>
      </w:r>
      <w:r w:rsidR="00305F3B">
        <w:t xml:space="preserve"> pour la CIMA</w:t>
      </w:r>
      <w:r>
        <w:t>.  Il est évoqué qu’à l’avenir</w:t>
      </w:r>
      <w:r w:rsidR="00E428CA">
        <w:t xml:space="preserve">, 1 </w:t>
      </w:r>
      <w:r>
        <w:t xml:space="preserve">des 2 représentants de </w:t>
      </w:r>
      <w:r w:rsidR="00E428CA">
        <w:t>l</w:t>
      </w:r>
      <w:r w:rsidR="00305F3B">
        <w:t>’</w:t>
      </w:r>
      <w:r>
        <w:t xml:space="preserve">Afrique sub-saharienne </w:t>
      </w:r>
      <w:r w:rsidR="00305F3B">
        <w:t xml:space="preserve">au CoMex de l’AICIA </w:t>
      </w:r>
      <w:r>
        <w:t>devrait systématiquement émaner d’une juridiction francophone —</w:t>
      </w:r>
      <w:r>
        <w:rPr>
          <w:i/>
        </w:rPr>
        <w:t xml:space="preserve">a priori </w:t>
      </w:r>
      <w:r>
        <w:t xml:space="preserve">la CIMA ou la RDC, avec une </w:t>
      </w:r>
      <w:r w:rsidR="00E428CA">
        <w:t xml:space="preserve">répartition </w:t>
      </w:r>
      <w:r>
        <w:t>possible 2/3–1/3</w:t>
      </w:r>
      <w:r w:rsidR="00E428CA">
        <w:t xml:space="preserve"> des durées des mandats ; </w:t>
      </w:r>
    </w:p>
    <w:p w:rsidR="008B2171" w:rsidRDefault="00E428CA" w:rsidP="00112405">
      <w:pPr>
        <w:pStyle w:val="Paragraphedeliste"/>
        <w:numPr>
          <w:ilvl w:val="0"/>
          <w:numId w:val="10"/>
        </w:numPr>
        <w:ind w:left="964" w:hanging="397"/>
      </w:pPr>
      <w:r>
        <w:t xml:space="preserve">Hôte de </w:t>
      </w:r>
      <w:r w:rsidR="008B2171">
        <w:t>la prochaine réunion présentiel</w:t>
      </w:r>
      <w:r w:rsidR="00305F3B">
        <w:t>le</w:t>
      </w:r>
      <w:r w:rsidR="008B2171">
        <w:t xml:space="preserve"> en début d’année 2025.  BNB propose </w:t>
      </w:r>
      <w:r>
        <w:t xml:space="preserve">d’accueillir </w:t>
      </w:r>
      <w:r w:rsidR="008B2171">
        <w:t xml:space="preserve">la réunion ; </w:t>
      </w:r>
      <w:r>
        <w:t xml:space="preserve">l’invitation est immédiatement acceptée, et </w:t>
      </w:r>
      <w:r w:rsidR="00305F3B">
        <w:t xml:space="preserve">la BNB chaleureusement </w:t>
      </w:r>
      <w:r w:rsidR="008B2171">
        <w:t>remerci</w:t>
      </w:r>
      <w:r w:rsidR="00305F3B">
        <w:t>é</w:t>
      </w:r>
      <w:r w:rsidR="008B2171">
        <w:t>e.</w:t>
      </w:r>
    </w:p>
    <w:p w:rsidR="007D2493" w:rsidRDefault="007D2493" w:rsidP="007D2493">
      <w:pPr>
        <w:pStyle w:val="Paragraphedeliste"/>
      </w:pPr>
    </w:p>
    <w:p w:rsidR="005F50AA" w:rsidRDefault="005F50AA" w:rsidP="009362BD">
      <w:pPr>
        <w:pStyle w:val="Paragraphedeliste"/>
        <w:numPr>
          <w:ilvl w:val="0"/>
          <w:numId w:val="3"/>
        </w:numPr>
        <w:ind w:left="567" w:hanging="567"/>
      </w:pPr>
      <w:r>
        <w:t>Travaux d’EIOPA sur les écarts (ou déficits —cf. plus bas § </w:t>
      </w:r>
      <w:r w:rsidR="00E428CA">
        <w:t>15</w:t>
      </w:r>
      <w:r>
        <w:t>) de protection.</w:t>
      </w:r>
      <w:r w:rsidR="00E428CA">
        <w:t xml:space="preserve"> </w:t>
      </w:r>
      <w:r>
        <w:t xml:space="preserve"> Jérôme Bourtembourg </w:t>
      </w:r>
      <w:r w:rsidR="00D6156D">
        <w:t xml:space="preserve">présente </w:t>
      </w:r>
      <w:r>
        <w:t xml:space="preserve">les travaux de </w:t>
      </w:r>
      <w:r w:rsidR="00E428CA">
        <w:t xml:space="preserve">l’AEAPP —Autorité </w:t>
      </w:r>
      <w:r>
        <w:t>européenne d’assurance et des pensions privées,</w:t>
      </w:r>
      <w:r w:rsidR="00E428CA">
        <w:t xml:space="preserve"> </w:t>
      </w:r>
      <w:r w:rsidR="00D6156D">
        <w:t xml:space="preserve">en anglais </w:t>
      </w:r>
      <w:r>
        <w:t xml:space="preserve">EIOPA.  </w:t>
      </w:r>
      <w:r w:rsidR="00D6156D">
        <w:t xml:space="preserve">L’AEAPP </w:t>
      </w:r>
      <w:r w:rsidR="00EC2A59">
        <w:t xml:space="preserve">a établi un tableau de bord des déficits de protection pour les risques </w:t>
      </w:r>
      <w:r w:rsidR="00E428CA">
        <w:t xml:space="preserve">CatNat </w:t>
      </w:r>
      <w:r w:rsidR="00EC2A59">
        <w:t>dans les pays UE</w:t>
      </w:r>
      <w:r w:rsidR="00320593">
        <w:t>, et encourage les assureurs à avoir un rôle proactif</w:t>
      </w:r>
      <w:r w:rsidR="00680F5F">
        <w:t xml:space="preserve"> dans la réduction des risques liés au changement climatique</w:t>
      </w:r>
      <w:r w:rsidR="00320593">
        <w:t>, en particulier lors de la souscription des contrats</w:t>
      </w:r>
      <w:r w:rsidR="00680F5F">
        <w:t xml:space="preserve"> : ex. sensibiliser les assurés aux risques climatiques et aux actions </w:t>
      </w:r>
      <w:r w:rsidR="00680F5F">
        <w:lastRenderedPageBreak/>
        <w:t xml:space="preserve">préventives </w:t>
      </w:r>
      <w:r w:rsidR="00E428CA">
        <w:t xml:space="preserve">(portes étanches, autres protections…) </w:t>
      </w:r>
      <w:r w:rsidR="00680F5F">
        <w:t>à entreprendre (d13).</w:t>
      </w:r>
      <w:r w:rsidR="00E428CA">
        <w:t xml:space="preserve"> </w:t>
      </w:r>
      <w:r w:rsidR="00680F5F">
        <w:t xml:space="preserve"> L’AEAPP estime qu</w:t>
      </w:r>
      <w:r w:rsidR="00305F3B">
        <w:t xml:space="preserve">e dans l’UE, </w:t>
      </w:r>
      <w:r w:rsidR="00680F5F">
        <w:t>environ</w:t>
      </w:r>
      <w:r w:rsidR="00E428CA">
        <w:t xml:space="preserve"> 1/4 </w:t>
      </w:r>
      <w:r w:rsidR="00680F5F">
        <w:t xml:space="preserve">seulement des pertes liées aux catastrophes naturelles est assuré, alors même que ce déficit de </w:t>
      </w:r>
      <w:r w:rsidR="00E428CA">
        <w:t xml:space="preserve">couverture </w:t>
      </w:r>
      <w:r w:rsidR="00680F5F">
        <w:t>peut avoir un impact macroéconomique ou de stabilité financière (ex. l</w:t>
      </w:r>
      <w:r w:rsidR="00E428CA">
        <w:t xml:space="preserve">’absence </w:t>
      </w:r>
      <w:r w:rsidR="00680F5F">
        <w:t xml:space="preserve">de couverture induit </w:t>
      </w:r>
      <w:r w:rsidR="00517D34">
        <w:t xml:space="preserve">pour les personnes non couvertes </w:t>
      </w:r>
      <w:r w:rsidR="00680F5F">
        <w:t>une reprise plus tardive des activités, entrainant un accroissement du risque de crédit des banques, etc. (d20).</w:t>
      </w:r>
      <w:r w:rsidR="00EC2A59">
        <w:t xml:space="preserve"> </w:t>
      </w:r>
    </w:p>
    <w:p w:rsidR="00EF0969" w:rsidRDefault="00EF0969" w:rsidP="00EF0969">
      <w:pPr>
        <w:pStyle w:val="Paragraphedeliste"/>
      </w:pPr>
    </w:p>
    <w:p w:rsidR="00D93D2F" w:rsidRDefault="00EF0969" w:rsidP="00055D5B">
      <w:pPr>
        <w:pStyle w:val="Paragraphedeliste"/>
        <w:numPr>
          <w:ilvl w:val="0"/>
          <w:numId w:val="3"/>
        </w:numPr>
        <w:spacing w:after="0"/>
        <w:ind w:left="567" w:hanging="567"/>
      </w:pPr>
      <w:r>
        <w:t xml:space="preserve">Travaux de l’AICA sur les écarts </w:t>
      </w:r>
      <w:r w:rsidR="00055D5B">
        <w:t xml:space="preserve">de protection ou </w:t>
      </w:r>
      <w:r>
        <w:t>d’assurabilité CatNat. Parallèlement à l’AEAPP</w:t>
      </w:r>
      <w:r w:rsidR="00D6156D">
        <w:t xml:space="preserve"> dans</w:t>
      </w:r>
      <w:r w:rsidR="00A371E6">
        <w:t xml:space="preserve"> l’UE</w:t>
      </w:r>
      <w:r>
        <w:t xml:space="preserve">, l’AICA </w:t>
      </w:r>
      <w:r w:rsidR="00D6156D">
        <w:t xml:space="preserve">au niveau mondial </w:t>
      </w:r>
      <w:r>
        <w:t xml:space="preserve">travaille aussi sur </w:t>
      </w:r>
      <w:r w:rsidR="00055D5B">
        <w:t xml:space="preserve">les </w:t>
      </w:r>
      <w:r>
        <w:t xml:space="preserve">écarts d’assurabilité ou déficits de protection, </w:t>
      </w:r>
      <w:r w:rsidR="00517D34">
        <w:t xml:space="preserve">notamment </w:t>
      </w:r>
      <w:r>
        <w:t xml:space="preserve">lors d’une catastrophe naturelle (même s’il existe d’autres événements </w:t>
      </w:r>
      <w:r w:rsidR="00D6156D">
        <w:t>à considérer</w:t>
      </w:r>
      <w:r>
        <w:t>, comme le risque cyber). Raphaël Gorrand, de l’ACPR, présente le récent rapport de l’AICA</w:t>
      </w:r>
      <w:r w:rsidR="00A371E6">
        <w:t xml:space="preserve"> (nov. 2023)</w:t>
      </w:r>
      <w:r>
        <w:t xml:space="preserve"> </w:t>
      </w:r>
      <w:r w:rsidR="00A371E6">
        <w:t>sur le rôle des contrôleurs dans le comblement des déficits de protection (</w:t>
      </w:r>
      <w:r w:rsidR="00D6156D">
        <w:t xml:space="preserve">= des </w:t>
      </w:r>
      <w:r w:rsidR="00A371E6">
        <w:t xml:space="preserve">pertes non couvertes par </w:t>
      </w:r>
      <w:r w:rsidR="00055D5B">
        <w:t>une assurance</w:t>
      </w:r>
      <w:r w:rsidR="00A371E6">
        <w:t>)</w:t>
      </w:r>
      <w:r w:rsidR="00D93D2F">
        <w:t>, en particulier</w:t>
      </w:r>
    </w:p>
    <w:p w:rsidR="00D93D2F" w:rsidRDefault="00D93D2F" w:rsidP="00112405">
      <w:pPr>
        <w:pStyle w:val="Paragraphedeliste"/>
        <w:numPr>
          <w:ilvl w:val="0"/>
          <w:numId w:val="6"/>
        </w:numPr>
        <w:ind w:left="964" w:hanging="397"/>
      </w:pPr>
      <w:r>
        <w:t xml:space="preserve">en évaluant </w:t>
      </w:r>
      <w:r w:rsidR="00293BD4">
        <w:t>les écarts de protection, notamment à partir d’outils en ligne accessibles en source ouverte (ex. Climada)</w:t>
      </w:r>
      <w:r>
        <w:t>,</w:t>
      </w:r>
    </w:p>
    <w:p w:rsidR="00D93D2F" w:rsidRDefault="00D93D2F" w:rsidP="00112405">
      <w:pPr>
        <w:pStyle w:val="Paragraphedeliste"/>
        <w:numPr>
          <w:ilvl w:val="0"/>
          <w:numId w:val="6"/>
        </w:numPr>
        <w:ind w:left="964" w:hanging="397"/>
      </w:pPr>
      <w:r>
        <w:t>en améliorant l’information des assurés (</w:t>
      </w:r>
      <w:r w:rsidR="00517D34">
        <w:t xml:space="preserve">expliciter ou mieux expliquer </w:t>
      </w:r>
      <w:r>
        <w:t>les événements couverts</w:t>
      </w:r>
      <w:r w:rsidR="00517D34">
        <w:t>, ou au contraire</w:t>
      </w:r>
      <w:r>
        <w:t xml:space="preserve"> ou non-couverts par l</w:t>
      </w:r>
      <w:r w:rsidR="00055D5B">
        <w:t>e contrat d</w:t>
      </w:r>
      <w:r>
        <w:t>’assur</w:t>
      </w:r>
      <w:r w:rsidR="00055D5B">
        <w:t>ance</w:t>
      </w:r>
      <w:r>
        <w:t>),</w:t>
      </w:r>
    </w:p>
    <w:p w:rsidR="00D93D2F" w:rsidRDefault="00D93D2F" w:rsidP="00112405">
      <w:pPr>
        <w:pStyle w:val="Paragraphedeliste"/>
        <w:numPr>
          <w:ilvl w:val="0"/>
          <w:numId w:val="6"/>
        </w:numPr>
        <w:ind w:left="964" w:hanging="397"/>
      </w:pPr>
      <w:r>
        <w:t>en favorisant la prévention des risques (par exemple en incitant ou obligeant les assureurs à réduire les primes des assurés qui adoptent des mesures de prévention).</w:t>
      </w:r>
    </w:p>
    <w:p w:rsidR="00EF0969" w:rsidRDefault="00D93D2F" w:rsidP="00D93D2F">
      <w:pPr>
        <w:ind w:left="720"/>
      </w:pPr>
      <w:r>
        <w:t>Certains types d’assurance paraissent bien adaptés à la couverture d’événements catastrophiques naturels, en particuliers l’assurance paramétrique ou indicielle. L</w:t>
      </w:r>
      <w:r w:rsidR="00517D34">
        <w:t xml:space="preserve">e </w:t>
      </w:r>
      <w:r>
        <w:t>contrôle</w:t>
      </w:r>
      <w:r w:rsidR="00517D34">
        <w:t>ur</w:t>
      </w:r>
      <w:r>
        <w:t xml:space="preserve"> peut aussi conseiller les gouvernements sur la mise en place de partenariats public</w:t>
      </w:r>
      <w:r w:rsidR="00055D5B">
        <w:t>–</w:t>
      </w:r>
      <w:r>
        <w:t>privé (PPP) (d13–14).</w:t>
      </w:r>
    </w:p>
    <w:p w:rsidR="005F50AA" w:rsidRDefault="005F50AA" w:rsidP="005F50AA">
      <w:pPr>
        <w:pStyle w:val="Paragraphedeliste"/>
      </w:pPr>
    </w:p>
    <w:p w:rsidR="00F9613F" w:rsidRDefault="009854F9" w:rsidP="00620FA3">
      <w:pPr>
        <w:pStyle w:val="Paragraphedeliste"/>
        <w:numPr>
          <w:ilvl w:val="0"/>
          <w:numId w:val="3"/>
        </w:numPr>
        <w:ind w:left="567" w:hanging="567"/>
      </w:pPr>
      <w:r>
        <w:t>Terminologie</w:t>
      </w:r>
      <w:r w:rsidR="00517D34">
        <w:t>s</w:t>
      </w:r>
      <w:r>
        <w:t xml:space="preserve">.  </w:t>
      </w:r>
      <w:r w:rsidR="00992B67">
        <w:t xml:space="preserve">Les </w:t>
      </w:r>
      <w:r w:rsidR="00055D5B">
        <w:t>« </w:t>
      </w:r>
      <w:r>
        <w:t xml:space="preserve">mots </w:t>
      </w:r>
      <w:r w:rsidR="002D5AFA">
        <w:t>voyageurs</w:t>
      </w:r>
      <w:r>
        <w:t xml:space="preserve"> » </w:t>
      </w:r>
      <w:r w:rsidR="00992B67">
        <w:t>enrichissent les langues</w:t>
      </w:r>
      <w:r w:rsidR="001D1E12">
        <w:t xml:space="preserve"> ; </w:t>
      </w:r>
      <w:r w:rsidR="0057094F">
        <w:t>les anglicismes</w:t>
      </w:r>
      <w:r w:rsidR="00E24970">
        <w:t xml:space="preserve"> </w:t>
      </w:r>
      <w:r w:rsidR="001D1E12">
        <w:t xml:space="preserve">ont enrichi le français dans le passé et </w:t>
      </w:r>
      <w:r w:rsidR="00055D5B">
        <w:t xml:space="preserve">vont </w:t>
      </w:r>
      <w:r w:rsidR="001D1E12">
        <w:t>continuer</w:t>
      </w:r>
      <w:r w:rsidR="00055D5B">
        <w:t xml:space="preserve"> </w:t>
      </w:r>
      <w:r w:rsidR="001D1E12">
        <w:t xml:space="preserve">à </w:t>
      </w:r>
      <w:r w:rsidR="00D6156D">
        <w:t xml:space="preserve">l’enrichir </w:t>
      </w:r>
      <w:r w:rsidR="001D1E12">
        <w:t>dans le futur.</w:t>
      </w:r>
      <w:r w:rsidR="002D5AFA">
        <w:t xml:space="preserve"> </w:t>
      </w:r>
      <w:r w:rsidR="001D1E12">
        <w:t xml:space="preserve"> Le GCAF</w:t>
      </w:r>
      <w:r w:rsidR="00D6156D">
        <w:t xml:space="preserve">, loin de </w:t>
      </w:r>
      <w:r w:rsidR="00517D34">
        <w:t xml:space="preserve">combattre les </w:t>
      </w:r>
      <w:r w:rsidR="0057094F">
        <w:t>anglicismes</w:t>
      </w:r>
      <w:r w:rsidR="00D6156D">
        <w:t xml:space="preserve">, </w:t>
      </w:r>
      <w:r w:rsidR="00E24970">
        <w:t xml:space="preserve">les </w:t>
      </w:r>
      <w:r w:rsidR="00D6156D">
        <w:t xml:space="preserve">encourage </w:t>
      </w:r>
      <w:r w:rsidR="00E24970">
        <w:t xml:space="preserve">lorsqu’ils facilitent la compréhension </w:t>
      </w:r>
      <w:r w:rsidR="0041058A">
        <w:t xml:space="preserve">ou ont </w:t>
      </w:r>
      <w:r w:rsidR="001D1E12">
        <w:t xml:space="preserve">une </w:t>
      </w:r>
      <w:r w:rsidR="00992B67">
        <w:t>valeur ajoutée</w:t>
      </w:r>
      <w:r w:rsidR="00055D5B">
        <w:t xml:space="preserve"> ; </w:t>
      </w:r>
      <w:r w:rsidR="0057094F">
        <w:t>avec discernement</w:t>
      </w:r>
      <w:r w:rsidR="00055D5B">
        <w:t xml:space="preserve"> et modération, le GCAF peut </w:t>
      </w:r>
      <w:r w:rsidR="0041058A">
        <w:t xml:space="preserve">en </w:t>
      </w:r>
      <w:r w:rsidR="00E24970">
        <w:t xml:space="preserve">déconseiller certains </w:t>
      </w:r>
      <w:r w:rsidR="005903D4">
        <w:t xml:space="preserve">non nécessaires, ou </w:t>
      </w:r>
      <w:r>
        <w:t xml:space="preserve">qui </w:t>
      </w:r>
      <w:r w:rsidR="0057094F">
        <w:t>porteraient ambigüité</w:t>
      </w:r>
      <w:r w:rsidR="00992B67">
        <w:t xml:space="preserve"> ou incompréhension —étant observé qu’</w:t>
      </w:r>
      <w:r w:rsidR="00992B67" w:rsidRPr="00992B67">
        <w:rPr>
          <w:i/>
        </w:rPr>
        <w:t>in fine</w:t>
      </w:r>
      <w:r w:rsidR="00992B67">
        <w:t xml:space="preserve">, </w:t>
      </w:r>
      <w:r w:rsidR="00E24970">
        <w:t>ce s</w:t>
      </w:r>
      <w:r w:rsidR="005903D4">
        <w:t>er</w:t>
      </w:r>
      <w:r w:rsidR="00E24970">
        <w:t xml:space="preserve">ont </w:t>
      </w:r>
      <w:r w:rsidR="00992B67">
        <w:t xml:space="preserve">les locuteurs </w:t>
      </w:r>
      <w:r w:rsidR="00E24970">
        <w:t>qui fixeront l’usage</w:t>
      </w:r>
      <w:r w:rsidR="00992B67">
        <w:t xml:space="preserve">. </w:t>
      </w:r>
      <w:r w:rsidR="00055D5B">
        <w:t xml:space="preserve"> </w:t>
      </w:r>
      <w:r w:rsidR="0041058A">
        <w:br/>
      </w:r>
      <w:r w:rsidR="00F9613F">
        <w:t>Ainsi :</w:t>
      </w:r>
    </w:p>
    <w:p w:rsidR="00055D5B" w:rsidRDefault="00992B67" w:rsidP="00620FA3">
      <w:pPr>
        <w:pStyle w:val="Paragraphedeliste"/>
        <w:numPr>
          <w:ilvl w:val="0"/>
          <w:numId w:val="12"/>
        </w:numPr>
        <w:ind w:left="964" w:hanging="397"/>
      </w:pPr>
      <w:r>
        <w:t>« Mise en oeuvre » peut apparaitre comme préférable à « implémentation » (3 syllabes au lieu de 5)</w:t>
      </w:r>
      <w:r w:rsidR="00055D5B">
        <w:t>,</w:t>
      </w:r>
      <w:r>
        <w:t xml:space="preserve"> mais</w:t>
      </w:r>
      <w:r w:rsidR="00055D5B">
        <w:t xml:space="preserve"> « implémentation »</w:t>
      </w:r>
      <w:r>
        <w:t xml:space="preserve"> semble mieux sonner</w:t>
      </w:r>
      <w:r w:rsidR="00055D5B">
        <w:t xml:space="preserve"> dans certains contextes</w:t>
      </w:r>
      <w:r w:rsidR="00F9613F">
        <w:t> ;</w:t>
      </w:r>
    </w:p>
    <w:p w:rsidR="00F9613F" w:rsidRDefault="00992B67" w:rsidP="00055D5B">
      <w:pPr>
        <w:pStyle w:val="Paragraphedeliste"/>
        <w:numPr>
          <w:ilvl w:val="0"/>
          <w:numId w:val="12"/>
        </w:numPr>
        <w:ind w:left="964" w:hanging="397"/>
      </w:pPr>
      <w:r>
        <w:t xml:space="preserve">« Numérisation » semble préférable à « digitalisation », d’une part parce que plus court (4 syllabes au lieu de 5), d’autre part parce que étymologiquement plus transparent : </w:t>
      </w:r>
      <w:r w:rsidR="0041058A">
        <w:t xml:space="preserve">en effet, </w:t>
      </w:r>
      <w:r>
        <w:t xml:space="preserve">contrairement à l’anglais où </w:t>
      </w:r>
      <w:r w:rsidRPr="00055D5B">
        <w:rPr>
          <w:i/>
        </w:rPr>
        <w:t xml:space="preserve">« digit » </w:t>
      </w:r>
      <w:r>
        <w:t xml:space="preserve">signifie « nombre », la racine française </w:t>
      </w:r>
      <w:r w:rsidR="001D1E12">
        <w:t xml:space="preserve">« digit » </w:t>
      </w:r>
      <w:r>
        <w:t>renvoie exclusivement au « doigt » ; ainsi, on « numérise » une voix</w:t>
      </w:r>
      <w:r w:rsidR="00055D5B">
        <w:t xml:space="preserve"> plutôt qu’on </w:t>
      </w:r>
      <w:r>
        <w:t>la « digitalise ». « </w:t>
      </w:r>
      <w:r w:rsidR="00D03AB7">
        <w:t>Digitalisation </w:t>
      </w:r>
      <w:r>
        <w:t xml:space="preserve">» </w:t>
      </w:r>
      <w:r w:rsidR="00D03AB7">
        <w:t>reste néanmoins largement employé —</w:t>
      </w:r>
      <w:r w:rsidR="005903D4">
        <w:t xml:space="preserve">et </w:t>
      </w:r>
      <w:r w:rsidR="00055D5B">
        <w:t xml:space="preserve">voir </w:t>
      </w:r>
      <w:r w:rsidR="00C60926">
        <w:t>un</w:t>
      </w:r>
      <w:r w:rsidR="003F6FDA">
        <w:t xml:space="preserve"> bel </w:t>
      </w:r>
      <w:r w:rsidR="00055D5B">
        <w:t xml:space="preserve">exemple </w:t>
      </w:r>
      <w:r w:rsidR="00C60926">
        <w:t>d’</w:t>
      </w:r>
      <w:r w:rsidR="0041058A">
        <w:t xml:space="preserve">esprit de synthèse </w:t>
      </w:r>
      <w:r w:rsidR="00D03AB7">
        <w:t>en Côte d’Ivoire</w:t>
      </w:r>
      <w:r w:rsidR="005903D4">
        <w:t xml:space="preserve"> </w:t>
      </w:r>
      <w:r w:rsidR="0041058A">
        <w:t>avec</w:t>
      </w:r>
      <w:r w:rsidR="00055D5B">
        <w:t xml:space="preserve">l’intitulé </w:t>
      </w:r>
      <w:r w:rsidR="00D03AB7">
        <w:t xml:space="preserve">« Ministère de la </w:t>
      </w:r>
      <w:r w:rsidR="00D03AB7" w:rsidRPr="003F6FDA">
        <w:rPr>
          <w:b/>
        </w:rPr>
        <w:t>digitalisation</w:t>
      </w:r>
      <w:r w:rsidR="00D03AB7">
        <w:t xml:space="preserve"> et de la transformation </w:t>
      </w:r>
      <w:r w:rsidR="00D03AB7" w:rsidRPr="003F6FDA">
        <w:rPr>
          <w:b/>
        </w:rPr>
        <w:t>numérique</w:t>
      </w:r>
      <w:r w:rsidR="00D03AB7">
        <w:t> »</w:t>
      </w:r>
      <w:r w:rsidR="00F9613F">
        <w:t> ;</w:t>
      </w:r>
    </w:p>
    <w:p w:rsidR="00F9613F" w:rsidRDefault="00D03AB7" w:rsidP="00055D5B">
      <w:pPr>
        <w:pStyle w:val="Paragraphedeliste"/>
        <w:numPr>
          <w:ilvl w:val="0"/>
          <w:numId w:val="12"/>
        </w:numPr>
        <w:ind w:left="964" w:hanging="397"/>
      </w:pPr>
      <w:r>
        <w:t xml:space="preserve">« Contrôle » semble nettement préférable à « supervision » (et « contrôleur » à « superviseur »), parce que plus court (2 syllabes au lieu de 4), </w:t>
      </w:r>
      <w:r w:rsidR="001D1E12">
        <w:t xml:space="preserve">et surtout </w:t>
      </w:r>
      <w:r>
        <w:t xml:space="preserve">plus adéquat : contrairement à </w:t>
      </w:r>
      <w:r w:rsidR="00055D5B">
        <w:rPr>
          <w:i/>
        </w:rPr>
        <w:t xml:space="preserve">« supervision » </w:t>
      </w:r>
      <w:r w:rsidR="00055D5B">
        <w:t xml:space="preserve">en </w:t>
      </w:r>
      <w:r>
        <w:t xml:space="preserve">anglais, « supervision » </w:t>
      </w:r>
      <w:r w:rsidR="00055D5B">
        <w:t xml:space="preserve">en français </w:t>
      </w:r>
      <w:r>
        <w:t>signifie « surveiller de haut / de loin »</w:t>
      </w:r>
      <w:r w:rsidR="001D1E12">
        <w:t> ;</w:t>
      </w:r>
      <w:r>
        <w:t xml:space="preserve"> or les « contrôleurs » d’assurance, lorsqu</w:t>
      </w:r>
      <w:r w:rsidR="002C6F08">
        <w:t>’ils vérifient (</w:t>
      </w:r>
      <w:r>
        <w:t>par exemple</w:t>
      </w:r>
      <w:r w:rsidR="002C6F08">
        <w:t>)</w:t>
      </w:r>
      <w:r>
        <w:t xml:space="preserve"> </w:t>
      </w:r>
      <w:r w:rsidR="002C6F08">
        <w:t xml:space="preserve">les </w:t>
      </w:r>
      <w:r>
        <w:lastRenderedPageBreak/>
        <w:t>dossiers de sinistres, « vont au charbon »</w:t>
      </w:r>
      <w:r w:rsidR="002C6F08">
        <w:t xml:space="preserve"> ou</w:t>
      </w:r>
      <w:r>
        <w:t xml:space="preserve"> « mettent les mains dans le cambouis » : </w:t>
      </w:r>
      <w:r w:rsidR="002C6F08">
        <w:t xml:space="preserve">ainsi, </w:t>
      </w:r>
      <w:r>
        <w:t>ils ne « </w:t>
      </w:r>
      <w:r w:rsidR="002C6F08">
        <w:t>surveillent pas de haut</w:t>
      </w:r>
      <w:r>
        <w:t xml:space="preserve"> » pas, ils « contrôlent ».  </w:t>
      </w:r>
    </w:p>
    <w:p w:rsidR="00F9613F" w:rsidRDefault="00D03AB7" w:rsidP="00055D5B">
      <w:pPr>
        <w:pStyle w:val="Paragraphedeliste"/>
        <w:numPr>
          <w:ilvl w:val="0"/>
          <w:numId w:val="12"/>
        </w:numPr>
        <w:ind w:left="964" w:hanging="397"/>
      </w:pPr>
      <w:r>
        <w:t xml:space="preserve">L’anglicisme « conduite de marché » est </w:t>
      </w:r>
      <w:r w:rsidR="0030191F">
        <w:t xml:space="preserve">opaque </w:t>
      </w:r>
      <w:r>
        <w:t xml:space="preserve">pour qui </w:t>
      </w:r>
      <w:r w:rsidR="002C6F08">
        <w:t xml:space="preserve">ignore </w:t>
      </w:r>
      <w:r>
        <w:t>le sens original anglais</w:t>
      </w:r>
      <w:r w:rsidR="0030191F">
        <w:t>,</w:t>
      </w:r>
      <w:r>
        <w:t xml:space="preserve"> on d</w:t>
      </w:r>
      <w:r w:rsidR="002C6F08">
        <w:t xml:space="preserve">evrait </w:t>
      </w:r>
      <w:r>
        <w:t xml:space="preserve">lui préférer systématiquement </w:t>
      </w:r>
      <w:r w:rsidR="0030191F">
        <w:t>l’</w:t>
      </w:r>
      <w:r>
        <w:t>équivalent français « pratiques commerciales »</w:t>
      </w:r>
      <w:r w:rsidR="00F9613F">
        <w:t> ;</w:t>
      </w:r>
    </w:p>
    <w:p w:rsidR="005903D4" w:rsidRDefault="005903D4" w:rsidP="00055D5B">
      <w:pPr>
        <w:pStyle w:val="Paragraphedeliste"/>
        <w:numPr>
          <w:ilvl w:val="0"/>
          <w:numId w:val="12"/>
        </w:numPr>
        <w:ind w:left="964" w:hanging="397"/>
      </w:pPr>
      <w:r>
        <w:rPr>
          <w:i/>
        </w:rPr>
        <w:t xml:space="preserve">« slide » </w:t>
      </w:r>
      <w:r>
        <w:t>a 2 syllabes en prononciation française —« sla-ède »— et n’est donc pas plus court que « diapo », abréviation qui pourrait probablement être avantageusement et systématiquement préférée lors des interventions francophones ;</w:t>
      </w:r>
    </w:p>
    <w:p w:rsidR="00F9613F" w:rsidRDefault="00D03AB7" w:rsidP="00055D5B">
      <w:pPr>
        <w:pStyle w:val="Paragraphedeliste"/>
        <w:numPr>
          <w:ilvl w:val="0"/>
          <w:numId w:val="12"/>
        </w:numPr>
        <w:ind w:left="964" w:hanging="397"/>
      </w:pPr>
      <w:r>
        <w:t xml:space="preserve">La traduction de </w:t>
      </w:r>
      <w:r>
        <w:rPr>
          <w:i/>
        </w:rPr>
        <w:t>« protection gap</w:t>
      </w:r>
      <w:r w:rsidR="0030191F">
        <w:rPr>
          <w:i/>
        </w:rPr>
        <w:t>s</w:t>
      </w:r>
      <w:r>
        <w:rPr>
          <w:i/>
        </w:rPr>
        <w:t xml:space="preserve"> » </w:t>
      </w:r>
      <w:r>
        <w:t>par « écart</w:t>
      </w:r>
      <w:r w:rsidR="0030191F">
        <w:t>s</w:t>
      </w:r>
      <w:r>
        <w:t xml:space="preserve"> de protection » </w:t>
      </w:r>
      <w:r w:rsidR="0030191F">
        <w:t>semble acceptable mais reste perfectible ; la terminologie n’est pas fixée, d’autres traductions pourraient être envisagées comme « déficits de protection », « défauts de couverture »</w:t>
      </w:r>
      <w:r w:rsidR="00F9613F">
        <w:t> ;</w:t>
      </w:r>
    </w:p>
    <w:p w:rsidR="00E24970" w:rsidRDefault="00F46D42" w:rsidP="00E24970">
      <w:pPr>
        <w:pStyle w:val="Paragraphedeliste"/>
        <w:numPr>
          <w:ilvl w:val="0"/>
          <w:numId w:val="12"/>
        </w:numPr>
        <w:spacing w:after="120"/>
        <w:ind w:left="964" w:hanging="397"/>
      </w:pPr>
      <w:r>
        <w:t xml:space="preserve">Les traductions de </w:t>
      </w:r>
      <w:r>
        <w:rPr>
          <w:i/>
        </w:rPr>
        <w:t xml:space="preserve">Internationally Active Insurance Group </w:t>
      </w:r>
      <w:r>
        <w:t xml:space="preserve">ou IAIG par </w:t>
      </w:r>
      <w:r w:rsidRPr="00F46D42">
        <w:rPr>
          <w:i/>
        </w:rPr>
        <w:t>« Groupe d’assurance actif à l’international »</w:t>
      </w:r>
      <w:r>
        <w:t xml:space="preserve"> ou </w:t>
      </w:r>
      <w:r w:rsidRPr="00F46D42">
        <w:rPr>
          <w:i/>
        </w:rPr>
        <w:t>« Groupe d’assurance internationalement actif »</w:t>
      </w:r>
      <w:r>
        <w:t xml:space="preserve"> sont exactes </w:t>
      </w:r>
      <w:r w:rsidR="002C6F08">
        <w:t xml:space="preserve">mot à mot, </w:t>
      </w:r>
      <w:r>
        <w:t xml:space="preserve">mais n’épousent pas complètement la notion d’IAIG telle que définie par le standard </w:t>
      </w:r>
      <w:r>
        <w:rPr>
          <w:i/>
        </w:rPr>
        <w:t xml:space="preserve">ComFrame </w:t>
      </w:r>
      <w:r>
        <w:t xml:space="preserve">de l’AICA —groupes d’assurance qui, outre d’être internationalement actifs, doivent avoir </w:t>
      </w:r>
      <w:r w:rsidR="002C6F08">
        <w:t xml:space="preserve">des primes </w:t>
      </w:r>
      <w:r>
        <w:t>et un total de bilan supérieurs, respectivement, à 10 Md US</w:t>
      </w:r>
      <w:r w:rsidR="00F9613F">
        <w:t>$</w:t>
      </w:r>
      <w:r>
        <w:t xml:space="preserve"> et 50 Md US</w:t>
      </w:r>
      <w:r w:rsidR="00F9613F">
        <w:t>$</w:t>
      </w:r>
      <w:r>
        <w:t xml:space="preserve"> (en fait c’est l’expression originale anglaise qui pose problème) : une traduction alternative pourrait être, </w:t>
      </w:r>
      <w:r w:rsidRPr="00F46D42">
        <w:rPr>
          <w:i/>
        </w:rPr>
        <w:t>« Grands groupes internationaux d’assurance »</w:t>
      </w:r>
      <w:r>
        <w:t xml:space="preserve">. </w:t>
      </w:r>
    </w:p>
    <w:p w:rsidR="009854F9" w:rsidRDefault="0030191F" w:rsidP="00E24970">
      <w:pPr>
        <w:spacing w:after="120"/>
        <w:ind w:left="567"/>
      </w:pPr>
      <w:r>
        <w:t xml:space="preserve">Le GCAF reconnait la diversité des usages francophones, dès lors qu’elle ne contrarie pas la compréhension commune. Ainsi, septante, octante et nonante semblent être </w:t>
      </w:r>
      <w:r w:rsidR="002C6F08">
        <w:t xml:space="preserve">mondialement connus comme équivalents parfaits </w:t>
      </w:r>
      <w:r>
        <w:t>de soixante-dix, quatre-vingt et quatre-vingt-dix.</w:t>
      </w:r>
      <w:r w:rsidR="002C6F08">
        <w:t xml:space="preserve"> </w:t>
      </w:r>
      <w:r>
        <w:t xml:space="preserve"> Mais </w:t>
      </w:r>
      <w:r w:rsidR="002C6F08">
        <w:t>« </w:t>
      </w:r>
      <w:r>
        <w:t>huitante</w:t>
      </w:r>
      <w:r w:rsidR="002C6F08">
        <w:t xml:space="preserve"> » </w:t>
      </w:r>
      <w:r>
        <w:t xml:space="preserve">semble </w:t>
      </w:r>
      <w:r w:rsidR="002C6F08">
        <w:t xml:space="preserve">moins </w:t>
      </w:r>
      <w:r w:rsidR="0041058A">
        <w:t>répandu</w:t>
      </w:r>
      <w:r>
        <w:t xml:space="preserve"> ; son emploi éventuel dans un document </w:t>
      </w:r>
      <w:r w:rsidR="00F9613F">
        <w:t xml:space="preserve">qu’un membre souhaiterait poster sur le site </w:t>
      </w:r>
      <w:r w:rsidR="002C6F08">
        <w:t xml:space="preserve">du GCAF </w:t>
      </w:r>
      <w:r>
        <w:t xml:space="preserve">devrait probablement </w:t>
      </w:r>
      <w:r w:rsidR="002C6F08">
        <w:t xml:space="preserve">inclure </w:t>
      </w:r>
      <w:r w:rsidR="00F9613F">
        <w:t xml:space="preserve">une </w:t>
      </w:r>
      <w:r>
        <w:t xml:space="preserve">note de bas de page </w:t>
      </w:r>
      <w:r w:rsidR="00F9613F">
        <w:t>expliquant</w:t>
      </w:r>
      <w:r w:rsidR="002C6F08">
        <w:t>,</w:t>
      </w:r>
      <w:r w:rsidR="00F9613F">
        <w:t xml:space="preserve"> </w:t>
      </w:r>
      <w:r>
        <w:t>« huitante</w:t>
      </w:r>
      <w:r w:rsidR="00F9613F">
        <w:t> »</w:t>
      </w:r>
      <w:r>
        <w:t xml:space="preserve"> = </w:t>
      </w:r>
      <w:r w:rsidR="00F9613F">
        <w:t>« </w:t>
      </w:r>
      <w:r>
        <w:t>octante</w:t>
      </w:r>
      <w:r w:rsidR="00F9613F">
        <w:t> »</w:t>
      </w:r>
      <w:r>
        <w:t xml:space="preserve"> = </w:t>
      </w:r>
      <w:r w:rsidR="00F9613F">
        <w:t>« </w:t>
      </w:r>
      <w:r>
        <w:t>quatre-vingt ».</w:t>
      </w:r>
    </w:p>
    <w:p w:rsidR="007D2493" w:rsidRDefault="007D2493" w:rsidP="0030191F">
      <w:pPr>
        <w:pStyle w:val="Paragraphedeliste"/>
      </w:pPr>
    </w:p>
    <w:p w:rsidR="00620FA3" w:rsidRDefault="007D2493" w:rsidP="00620FA3">
      <w:pPr>
        <w:pStyle w:val="Paragraphedeliste"/>
        <w:numPr>
          <w:ilvl w:val="0"/>
          <w:numId w:val="3"/>
        </w:numPr>
        <w:ind w:left="567" w:hanging="567"/>
      </w:pPr>
      <w:r>
        <w:t xml:space="preserve">Emmanuel Rocher, Directeur international à l’ACPR, </w:t>
      </w:r>
      <w:r w:rsidR="002C6F08">
        <w:t xml:space="preserve">conclut le séminaire en remerciant </w:t>
      </w:r>
      <w:r>
        <w:t>les participants d’être venus si nombreux</w:t>
      </w:r>
      <w:r w:rsidR="002C6F08">
        <w:t xml:space="preserve">.  </w:t>
      </w:r>
      <w:r w:rsidR="00520530">
        <w:t xml:space="preserve">Il </w:t>
      </w:r>
      <w:r w:rsidR="00C73A86">
        <w:t>encourag</w:t>
      </w:r>
      <w:r w:rsidR="0041058A">
        <w:t>e</w:t>
      </w:r>
      <w:r w:rsidR="00C73A86">
        <w:t xml:space="preserve"> une participation accrue à l’exercice SGS (cf. § </w:t>
      </w:r>
      <w:r w:rsidR="00F9613F">
        <w:t>3</w:t>
      </w:r>
      <w:r w:rsidR="00C73A86">
        <w:t>) de l’AICA</w:t>
      </w:r>
      <w:r>
        <w:t xml:space="preserve"> ; </w:t>
      </w:r>
      <w:r w:rsidR="00C73A86">
        <w:t>évoquant</w:t>
      </w:r>
      <w:r w:rsidR="00520530">
        <w:t xml:space="preserve">, pour </w:t>
      </w:r>
      <w:r w:rsidR="00C73A86">
        <w:t xml:space="preserve">la directive S2 entrée en vigueur le </w:t>
      </w:r>
      <w:r w:rsidR="00520530">
        <w:t>01.01.2016, la révision en cours qui devrait être définitivement approuvée par le parlement UE en 2024</w:t>
      </w:r>
      <w:r w:rsidR="00C73A86">
        <w:t xml:space="preserve">, </w:t>
      </w:r>
      <w:r w:rsidR="005903D4">
        <w:t xml:space="preserve">Emmanuel </w:t>
      </w:r>
      <w:r w:rsidR="00C73A86">
        <w:t xml:space="preserve">signale 2 points </w:t>
      </w:r>
      <w:r w:rsidR="00520530">
        <w:t xml:space="preserve">de cette révision </w:t>
      </w:r>
      <w:r w:rsidR="00C73A86">
        <w:t xml:space="preserve">où l’ACPR va être particulièrement active les prochaines années (et qui pourrait </w:t>
      </w:r>
      <w:r w:rsidR="00620FA3">
        <w:t xml:space="preserve">faire l’objet d’échanges </w:t>
      </w:r>
      <w:r w:rsidR="00C73A86">
        <w:t xml:space="preserve">lors de prochaines rencontres du GCAF si cela </w:t>
      </w:r>
      <w:r w:rsidR="00520530">
        <w:t xml:space="preserve">rencontrait </w:t>
      </w:r>
      <w:r w:rsidR="00C73A86">
        <w:t xml:space="preserve">l’intérêt des Membres) : </w:t>
      </w:r>
    </w:p>
    <w:p w:rsidR="00620FA3" w:rsidRDefault="00C73A86" w:rsidP="00620FA3">
      <w:pPr>
        <w:pStyle w:val="Paragraphedeliste"/>
        <w:numPr>
          <w:ilvl w:val="0"/>
          <w:numId w:val="13"/>
        </w:numPr>
        <w:ind w:left="964" w:hanging="397"/>
      </w:pPr>
      <w:r>
        <w:t xml:space="preserve">le risque de liquidité des assureurs —la directive </w:t>
      </w:r>
      <w:r w:rsidR="00520530">
        <w:t xml:space="preserve">révisée </w:t>
      </w:r>
      <w:r>
        <w:t xml:space="preserve">exigera des assureurs des plans de gestion du risque de liquidité ; </w:t>
      </w:r>
    </w:p>
    <w:p w:rsidR="007D2493" w:rsidRDefault="00C73A86" w:rsidP="00620FA3">
      <w:pPr>
        <w:pStyle w:val="Paragraphedeliste"/>
        <w:numPr>
          <w:ilvl w:val="0"/>
          <w:numId w:val="13"/>
        </w:numPr>
        <w:ind w:left="964" w:hanging="397"/>
      </w:pPr>
      <w:r>
        <w:t>la surveillance macroprudentielle</w:t>
      </w:r>
      <w:r w:rsidR="000025B7">
        <w:t xml:space="preserve"> </w:t>
      </w:r>
      <w:r>
        <w:t>—</w:t>
      </w:r>
      <w:r w:rsidR="000025B7">
        <w:t xml:space="preserve">le PBA 24 de l’AICA prévoit que le contrôleur doit identifier les </w:t>
      </w:r>
      <w:r w:rsidR="00520530">
        <w:t xml:space="preserve">assureurs systémiques, et rassembler les données permettant de suivre et surveiller les tendances du marché.  </w:t>
      </w:r>
      <w:r w:rsidR="00620FA3">
        <w:t>La directive S2 révisée donnera des outils supplémentaires aux autorités publiques</w:t>
      </w:r>
      <w:r w:rsidR="00620FA3" w:rsidRPr="00620FA3">
        <w:t xml:space="preserve">, notamment la suspension du paiement des valeurs de rachat : cette mesure est </w:t>
      </w:r>
      <w:r w:rsidR="00620FA3">
        <w:t xml:space="preserve">souvent </w:t>
      </w:r>
      <w:r w:rsidR="00620FA3" w:rsidRPr="00620FA3">
        <w:t xml:space="preserve">déjà disponible comme mesure </w:t>
      </w:r>
      <w:r w:rsidR="00620FA3" w:rsidRPr="00620FA3">
        <w:rPr>
          <w:b/>
        </w:rPr>
        <w:t>individuelle</w:t>
      </w:r>
      <w:r w:rsidR="00620FA3" w:rsidRPr="00620FA3">
        <w:t xml:space="preserve"> à l’égard d’un assureur </w:t>
      </w:r>
      <w:r w:rsidR="00620FA3" w:rsidRPr="00620FA3">
        <w:rPr>
          <w:b/>
        </w:rPr>
        <w:t>individuel</w:t>
      </w:r>
      <w:r w:rsidR="00620FA3" w:rsidRPr="00620FA3">
        <w:t xml:space="preserve"> connaissant des difficultés, mais moins souvent comme mesure </w:t>
      </w:r>
      <w:r w:rsidR="00620FA3" w:rsidRPr="00620FA3">
        <w:rPr>
          <w:b/>
        </w:rPr>
        <w:t>collective</w:t>
      </w:r>
      <w:r w:rsidR="00620FA3" w:rsidRPr="00620FA3">
        <w:t xml:space="preserve"> qui pourrait s’appliquer à tous les assureurs en cas de crise systémique affectant l’ensemble du marché</w:t>
      </w:r>
    </w:p>
    <w:p w:rsidR="00FC7F2C" w:rsidRPr="00710C63" w:rsidRDefault="007D2493" w:rsidP="0065117D">
      <w:pPr>
        <w:pStyle w:val="IBFI-Prog-Textecourant"/>
        <w:keepNext/>
        <w:spacing w:before="480" w:after="120" w:line="276" w:lineRule="auto"/>
        <w:ind w:left="0" w:right="142"/>
        <w:rPr>
          <w:rFonts w:asciiTheme="minorHAnsi" w:hAnsiTheme="minorHAnsi" w:cstheme="minorHAnsi"/>
          <w:b/>
          <w:bCs/>
          <w:color w:val="000000" w:themeColor="text1"/>
          <w:sz w:val="28"/>
          <w:szCs w:val="28"/>
          <w:lang w:eastAsia="en-US"/>
        </w:rPr>
      </w:pPr>
      <w:r w:rsidRPr="00710C63">
        <w:rPr>
          <w:rFonts w:asciiTheme="minorHAnsi" w:hAnsiTheme="minorHAnsi" w:cstheme="minorHAnsi"/>
          <w:b/>
          <w:bCs/>
          <w:color w:val="000000" w:themeColor="text1"/>
          <w:sz w:val="28"/>
          <w:szCs w:val="28"/>
          <w:lang w:eastAsia="en-US"/>
        </w:rPr>
        <w:lastRenderedPageBreak/>
        <w:t xml:space="preserve">Prochaines </w:t>
      </w:r>
      <w:r w:rsidR="00FC7F2C" w:rsidRPr="00710C63">
        <w:rPr>
          <w:rFonts w:asciiTheme="minorHAnsi" w:hAnsiTheme="minorHAnsi" w:cstheme="minorHAnsi"/>
          <w:b/>
          <w:bCs/>
          <w:color w:val="000000" w:themeColor="text1"/>
          <w:sz w:val="28"/>
          <w:szCs w:val="28"/>
          <w:lang w:eastAsia="en-US"/>
        </w:rPr>
        <w:t>réunions</w:t>
      </w:r>
    </w:p>
    <w:p w:rsidR="00B176B4" w:rsidRDefault="000025B7" w:rsidP="000025B7">
      <w:r>
        <w:t>29 mai 2024, virtuel</w:t>
      </w:r>
      <w:r w:rsidR="00112405">
        <w:t>le</w:t>
      </w:r>
      <w:r>
        <w:t>, 14h00 TU</w:t>
      </w:r>
      <w:r w:rsidR="005903D4">
        <w:t xml:space="preserve"> (TU = « temps universel », </w:t>
      </w:r>
      <w:r w:rsidR="005903D4">
        <w:rPr>
          <w:i/>
        </w:rPr>
        <w:t>« Greenwich Mean Time »</w:t>
      </w:r>
      <w:r w:rsidR="005903D4">
        <w:t>)</w:t>
      </w:r>
      <w:r>
        <w:br/>
        <w:t>1</w:t>
      </w:r>
      <w:r w:rsidRPr="000025B7">
        <w:rPr>
          <w:vertAlign w:val="superscript"/>
        </w:rPr>
        <w:t>er</w:t>
      </w:r>
      <w:r>
        <w:t xml:space="preserve"> octobre 2024, virtuel</w:t>
      </w:r>
      <w:r w:rsidR="00112405">
        <w:t>le</w:t>
      </w:r>
      <w:r>
        <w:t>, 14h00 TU</w:t>
      </w:r>
      <w:r>
        <w:br/>
        <w:t>28–30 janvier 2025, présentiel</w:t>
      </w:r>
      <w:r w:rsidR="00112405">
        <w:t>le</w:t>
      </w:r>
      <w:r>
        <w:t>, Bruxelles</w:t>
      </w:r>
    </w:p>
    <w:sectPr w:rsidR="00B176B4" w:rsidSect="0065117D">
      <w:headerReference w:type="default" r:id="rId12"/>
      <w:footerReference w:type="default" r:id="rId13"/>
      <w:pgSz w:w="11906" w:h="16838" w:code="9"/>
      <w:pgMar w:top="204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C59" w:rsidRDefault="002C3C59" w:rsidP="00D7618B">
      <w:pPr>
        <w:spacing w:after="0" w:line="240" w:lineRule="auto"/>
      </w:pPr>
      <w:r>
        <w:separator/>
      </w:r>
    </w:p>
  </w:endnote>
  <w:endnote w:type="continuationSeparator" w:id="0">
    <w:p w:rsidR="002C3C59" w:rsidRDefault="002C3C59" w:rsidP="00D7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17606"/>
      <w:docPartObj>
        <w:docPartGallery w:val="Page Numbers (Bottom of Page)"/>
        <w:docPartUnique/>
      </w:docPartObj>
    </w:sdtPr>
    <w:sdtEndPr/>
    <w:sdtContent>
      <w:p w:rsidR="00630536" w:rsidRDefault="00630536">
        <w:pPr>
          <w:pStyle w:val="Pieddepage"/>
          <w:jc w:val="right"/>
        </w:pPr>
        <w:r>
          <w:fldChar w:fldCharType="begin"/>
        </w:r>
        <w:r>
          <w:instrText>PAGE   \* MERGEFORMAT</w:instrText>
        </w:r>
        <w:r>
          <w:fldChar w:fldCharType="separate"/>
        </w:r>
        <w:r w:rsidR="0065117D">
          <w:t>10</w:t>
        </w:r>
        <w:r>
          <w:fldChar w:fldCharType="end"/>
        </w:r>
      </w:p>
    </w:sdtContent>
  </w:sdt>
  <w:p w:rsidR="00630536" w:rsidRDefault="006305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C59" w:rsidRDefault="002C3C59" w:rsidP="00D7618B">
      <w:pPr>
        <w:spacing w:after="0" w:line="240" w:lineRule="auto"/>
      </w:pPr>
      <w:r>
        <w:separator/>
      </w:r>
    </w:p>
  </w:footnote>
  <w:footnote w:type="continuationSeparator" w:id="0">
    <w:p w:rsidR="002C3C59" w:rsidRDefault="002C3C59" w:rsidP="00D7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8B" w:rsidRDefault="00D7618B" w:rsidP="00D7618B">
    <w:pPr>
      <w:pStyle w:val="En-tte"/>
      <w:tabs>
        <w:tab w:val="center" w:pos="5103"/>
        <w:tab w:val="left" w:pos="7297"/>
        <w:tab w:val="left" w:pos="8796"/>
      </w:tabs>
      <w:ind w:left="-851"/>
    </w:pPr>
    <w:r>
      <w:rPr>
        <w:lang w:eastAsia="fr-FR"/>
      </w:rPr>
      <w:drawing>
        <wp:inline distT="0" distB="0" distL="0" distR="0" wp14:anchorId="6CAEC231" wp14:editId="075CC532">
          <wp:extent cx="2316480" cy="482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IS_Logo_500.png"/>
                  <pic:cNvPicPr/>
                </pic:nvPicPr>
                <pic:blipFill>
                  <a:blip r:embed="rId1">
                    <a:extLst>
                      <a:ext uri="{28A0092B-C50C-407E-A947-70E740481C1C}">
                        <a14:useLocalDpi xmlns:a14="http://schemas.microsoft.com/office/drawing/2010/main" val="0"/>
                      </a:ext>
                    </a:extLst>
                  </a:blip>
                  <a:stretch>
                    <a:fillRect/>
                  </a:stretch>
                </pic:blipFill>
                <pic:spPr>
                  <a:xfrm>
                    <a:off x="0" y="0"/>
                    <a:ext cx="2333622" cy="486171"/>
                  </a:xfrm>
                  <a:prstGeom prst="rect">
                    <a:avLst/>
                  </a:prstGeom>
                </pic:spPr>
              </pic:pic>
            </a:graphicData>
          </a:graphic>
        </wp:inline>
      </w:drawing>
    </w:r>
    <w:r>
      <w:rPr>
        <w:lang w:eastAsia="fr-FR"/>
      </w:rPr>
      <w:drawing>
        <wp:anchor distT="0" distB="0" distL="114300" distR="114300" simplePos="0" relativeHeight="251660288" behindDoc="1" locked="0" layoutInCell="1" allowOverlap="1" wp14:anchorId="27A88DBA" wp14:editId="0851CFA5">
          <wp:simplePos x="0" y="0"/>
          <wp:positionH relativeFrom="column">
            <wp:posOffset>4357988</wp:posOffset>
          </wp:positionH>
          <wp:positionV relativeFrom="paragraph">
            <wp:posOffset>-250139</wp:posOffset>
          </wp:positionV>
          <wp:extent cx="1742440" cy="86487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2440" cy="864870"/>
                  </a:xfrm>
                  <a:prstGeom prst="rect">
                    <a:avLst/>
                  </a:prstGeom>
                  <a:noFill/>
                  <a:ln>
                    <a:noFill/>
                  </a:ln>
                </pic:spPr>
              </pic:pic>
            </a:graphicData>
          </a:graphic>
        </wp:anchor>
      </w:drawing>
    </w:r>
    <w:r>
      <w:tab/>
    </w:r>
    <w:r>
      <w:tab/>
    </w:r>
    <w:r>
      <w:tab/>
    </w:r>
    <w:r>
      <w:tab/>
    </w:r>
  </w:p>
  <w:p w:rsidR="00D7618B" w:rsidRDefault="00D7618B" w:rsidP="00A901FE">
    <w:pPr>
      <w:pStyle w:val="En-tte"/>
      <w:tabs>
        <w:tab w:val="clear" w:pos="4536"/>
        <w:tab w:val="clear" w:pos="9072"/>
        <w:tab w:val="left" w:pos="3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BD1"/>
    <w:multiLevelType w:val="hybridMultilevel"/>
    <w:tmpl w:val="30E65402"/>
    <w:lvl w:ilvl="0" w:tplc="FF3C2B02">
      <w:numFmt w:val="bullet"/>
      <w:lvlText w:val="-"/>
      <w:lvlJc w:val="left"/>
      <w:pPr>
        <w:ind w:left="720" w:hanging="360"/>
      </w:pPr>
      <w:rPr>
        <w:rFonts w:ascii="Calibri" w:eastAsiaTheme="minorHAnsi" w:hAnsi="Calibri" w:cs="Calibri"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0175EF"/>
    <w:multiLevelType w:val="hybridMultilevel"/>
    <w:tmpl w:val="A1944B8E"/>
    <w:lvl w:ilvl="0" w:tplc="CA32532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11042A8"/>
    <w:multiLevelType w:val="hybridMultilevel"/>
    <w:tmpl w:val="C396CAFC"/>
    <w:lvl w:ilvl="0" w:tplc="9BC44C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701A90"/>
    <w:multiLevelType w:val="hybridMultilevel"/>
    <w:tmpl w:val="9BFEDAF0"/>
    <w:lvl w:ilvl="0" w:tplc="5D9A416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0330316"/>
    <w:multiLevelType w:val="hybridMultilevel"/>
    <w:tmpl w:val="FE42E1B8"/>
    <w:lvl w:ilvl="0" w:tplc="EE7C9EC6">
      <w:start w:val="1"/>
      <w:numFmt w:val="lowerLetter"/>
      <w:lvlText w:val="(%1)"/>
      <w:lvlJc w:val="left"/>
      <w:pPr>
        <w:ind w:left="1077" w:hanging="720"/>
      </w:pPr>
      <w:rPr>
        <w:rFonts w:asciiTheme="minorHAnsi" w:eastAsiaTheme="minorHAnsi" w:hAnsiTheme="minorHAnsi" w:cstheme="minorBidi"/>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5" w15:restartNumberingAfterBreak="0">
    <w:nsid w:val="23633B95"/>
    <w:multiLevelType w:val="hybridMultilevel"/>
    <w:tmpl w:val="7FC63A0A"/>
    <w:lvl w:ilvl="0" w:tplc="10AE4E9E">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35A83011"/>
    <w:multiLevelType w:val="hybridMultilevel"/>
    <w:tmpl w:val="60FC2C92"/>
    <w:lvl w:ilvl="0" w:tplc="D8A27F0C">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9356567"/>
    <w:multiLevelType w:val="hybridMultilevel"/>
    <w:tmpl w:val="8012B09E"/>
    <w:lvl w:ilvl="0" w:tplc="0EB4964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4A183ADD"/>
    <w:multiLevelType w:val="hybridMultilevel"/>
    <w:tmpl w:val="86143A02"/>
    <w:lvl w:ilvl="0" w:tplc="19D098BA">
      <w:start w:val="1"/>
      <w:numFmt w:val="bullet"/>
      <w:lvlText w:val="–"/>
      <w:lvlJc w:val="left"/>
      <w:pPr>
        <w:ind w:left="717" w:hanging="360"/>
      </w:pPr>
      <w:rPr>
        <w:rFonts w:ascii="Calibri" w:eastAsiaTheme="minorHAnsi" w:hAnsi="Calibri"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560127D4"/>
    <w:multiLevelType w:val="hybridMultilevel"/>
    <w:tmpl w:val="79B0D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FB75B3"/>
    <w:multiLevelType w:val="hybridMultilevel"/>
    <w:tmpl w:val="A456E598"/>
    <w:lvl w:ilvl="0" w:tplc="6FDE17C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6F793EB9"/>
    <w:multiLevelType w:val="hybridMultilevel"/>
    <w:tmpl w:val="5E74F7F6"/>
    <w:lvl w:ilvl="0" w:tplc="88B027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1465342"/>
    <w:multiLevelType w:val="hybridMultilevel"/>
    <w:tmpl w:val="C7CC91C8"/>
    <w:lvl w:ilvl="0" w:tplc="E236F822">
      <w:start w:val="1"/>
      <w:numFmt w:val="lowerRoman"/>
      <w:lvlText w:val="(%1)"/>
      <w:lvlJc w:val="left"/>
      <w:pPr>
        <w:ind w:left="1077" w:hanging="72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num w:numId="1">
    <w:abstractNumId w:val="9"/>
  </w:num>
  <w:num w:numId="2">
    <w:abstractNumId w:val="0"/>
  </w:num>
  <w:num w:numId="3">
    <w:abstractNumId w:val="2"/>
  </w:num>
  <w:num w:numId="4">
    <w:abstractNumId w:val="3"/>
  </w:num>
  <w:num w:numId="5">
    <w:abstractNumId w:val="10"/>
  </w:num>
  <w:num w:numId="6">
    <w:abstractNumId w:val="6"/>
  </w:num>
  <w:num w:numId="7">
    <w:abstractNumId w:val="12"/>
  </w:num>
  <w:num w:numId="8">
    <w:abstractNumId w:val="4"/>
  </w:num>
  <w:num w:numId="9">
    <w:abstractNumId w:val="8"/>
  </w:num>
  <w:num w:numId="10">
    <w:abstractNumId w:val="5"/>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revisionView w:inkAnnotations="0"/>
  <w:trackRevisions/>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EA"/>
    <w:rsid w:val="000025B7"/>
    <w:rsid w:val="000453E7"/>
    <w:rsid w:val="00055D5B"/>
    <w:rsid w:val="000B462E"/>
    <w:rsid w:val="00112405"/>
    <w:rsid w:val="00133839"/>
    <w:rsid w:val="00156325"/>
    <w:rsid w:val="001765D2"/>
    <w:rsid w:val="00181D34"/>
    <w:rsid w:val="001B7606"/>
    <w:rsid w:val="001D1E12"/>
    <w:rsid w:val="001F07F5"/>
    <w:rsid w:val="00214FF8"/>
    <w:rsid w:val="00223FDE"/>
    <w:rsid w:val="002272FD"/>
    <w:rsid w:val="00244DC7"/>
    <w:rsid w:val="0026486A"/>
    <w:rsid w:val="00264CB5"/>
    <w:rsid w:val="00276C0C"/>
    <w:rsid w:val="00293BD4"/>
    <w:rsid w:val="00296286"/>
    <w:rsid w:val="002C3C59"/>
    <w:rsid w:val="002C6F08"/>
    <w:rsid w:val="002D5AFA"/>
    <w:rsid w:val="002F7870"/>
    <w:rsid w:val="0030191F"/>
    <w:rsid w:val="00305F3B"/>
    <w:rsid w:val="00320593"/>
    <w:rsid w:val="00332AF6"/>
    <w:rsid w:val="0033612A"/>
    <w:rsid w:val="00362179"/>
    <w:rsid w:val="00386BDE"/>
    <w:rsid w:val="003A33DB"/>
    <w:rsid w:val="003A3D14"/>
    <w:rsid w:val="003E3EE1"/>
    <w:rsid w:val="003F6FDA"/>
    <w:rsid w:val="00401063"/>
    <w:rsid w:val="0041058A"/>
    <w:rsid w:val="00427DD4"/>
    <w:rsid w:val="004334B5"/>
    <w:rsid w:val="00437558"/>
    <w:rsid w:val="00462612"/>
    <w:rsid w:val="004675F3"/>
    <w:rsid w:val="004A6C3C"/>
    <w:rsid w:val="004F05A6"/>
    <w:rsid w:val="004F5E5A"/>
    <w:rsid w:val="005047D7"/>
    <w:rsid w:val="00517D34"/>
    <w:rsid w:val="00520530"/>
    <w:rsid w:val="00525194"/>
    <w:rsid w:val="005520B9"/>
    <w:rsid w:val="005673D6"/>
    <w:rsid w:val="0057094F"/>
    <w:rsid w:val="005737B3"/>
    <w:rsid w:val="00573E35"/>
    <w:rsid w:val="005903D4"/>
    <w:rsid w:val="00594AE4"/>
    <w:rsid w:val="005D37CF"/>
    <w:rsid w:val="005F50AA"/>
    <w:rsid w:val="00620FA3"/>
    <w:rsid w:val="00630536"/>
    <w:rsid w:val="0063498D"/>
    <w:rsid w:val="0065117D"/>
    <w:rsid w:val="00666E5B"/>
    <w:rsid w:val="00675138"/>
    <w:rsid w:val="00680F5F"/>
    <w:rsid w:val="0068594D"/>
    <w:rsid w:val="006A42A0"/>
    <w:rsid w:val="006E3D30"/>
    <w:rsid w:val="006F2281"/>
    <w:rsid w:val="00726986"/>
    <w:rsid w:val="0074387D"/>
    <w:rsid w:val="007775CD"/>
    <w:rsid w:val="00785ADD"/>
    <w:rsid w:val="007975EC"/>
    <w:rsid w:val="007A7B56"/>
    <w:rsid w:val="007D2493"/>
    <w:rsid w:val="008022C9"/>
    <w:rsid w:val="008074B5"/>
    <w:rsid w:val="00812DE3"/>
    <w:rsid w:val="00834A03"/>
    <w:rsid w:val="00841D35"/>
    <w:rsid w:val="00861D77"/>
    <w:rsid w:val="008A1FEA"/>
    <w:rsid w:val="008A4C44"/>
    <w:rsid w:val="008B2171"/>
    <w:rsid w:val="008B2E17"/>
    <w:rsid w:val="008B4B85"/>
    <w:rsid w:val="00910784"/>
    <w:rsid w:val="009362BD"/>
    <w:rsid w:val="00966BB6"/>
    <w:rsid w:val="00982C22"/>
    <w:rsid w:val="009854F9"/>
    <w:rsid w:val="009922BE"/>
    <w:rsid w:val="00992B67"/>
    <w:rsid w:val="009C16CD"/>
    <w:rsid w:val="009E6026"/>
    <w:rsid w:val="00A033A4"/>
    <w:rsid w:val="00A15E88"/>
    <w:rsid w:val="00A34724"/>
    <w:rsid w:val="00A371E6"/>
    <w:rsid w:val="00A51C65"/>
    <w:rsid w:val="00A71181"/>
    <w:rsid w:val="00A901FE"/>
    <w:rsid w:val="00A92620"/>
    <w:rsid w:val="00AC6001"/>
    <w:rsid w:val="00AD6A43"/>
    <w:rsid w:val="00AF0783"/>
    <w:rsid w:val="00AF0AD4"/>
    <w:rsid w:val="00AF0B3A"/>
    <w:rsid w:val="00B02F2D"/>
    <w:rsid w:val="00B1081D"/>
    <w:rsid w:val="00B176B4"/>
    <w:rsid w:val="00B403C5"/>
    <w:rsid w:val="00B477C3"/>
    <w:rsid w:val="00B72BDA"/>
    <w:rsid w:val="00B94D98"/>
    <w:rsid w:val="00BA39E0"/>
    <w:rsid w:val="00BA6C46"/>
    <w:rsid w:val="00BB7E13"/>
    <w:rsid w:val="00BC0637"/>
    <w:rsid w:val="00BC4A07"/>
    <w:rsid w:val="00BC6839"/>
    <w:rsid w:val="00C47C0B"/>
    <w:rsid w:val="00C60926"/>
    <w:rsid w:val="00C67FCA"/>
    <w:rsid w:val="00C73A86"/>
    <w:rsid w:val="00CA563E"/>
    <w:rsid w:val="00CE2383"/>
    <w:rsid w:val="00D03AB7"/>
    <w:rsid w:val="00D03DFE"/>
    <w:rsid w:val="00D04914"/>
    <w:rsid w:val="00D055BA"/>
    <w:rsid w:val="00D11BB2"/>
    <w:rsid w:val="00D14DFA"/>
    <w:rsid w:val="00D15C20"/>
    <w:rsid w:val="00D23C00"/>
    <w:rsid w:val="00D516E9"/>
    <w:rsid w:val="00D6156D"/>
    <w:rsid w:val="00D650E1"/>
    <w:rsid w:val="00D7618B"/>
    <w:rsid w:val="00D8581F"/>
    <w:rsid w:val="00D8598E"/>
    <w:rsid w:val="00D93D2F"/>
    <w:rsid w:val="00E0201C"/>
    <w:rsid w:val="00E07FC3"/>
    <w:rsid w:val="00E10964"/>
    <w:rsid w:val="00E24970"/>
    <w:rsid w:val="00E428CA"/>
    <w:rsid w:val="00E85D1E"/>
    <w:rsid w:val="00E9429E"/>
    <w:rsid w:val="00EB4244"/>
    <w:rsid w:val="00EC2A59"/>
    <w:rsid w:val="00ED1F0C"/>
    <w:rsid w:val="00ED33DE"/>
    <w:rsid w:val="00EE3EB1"/>
    <w:rsid w:val="00EF0969"/>
    <w:rsid w:val="00EF71AC"/>
    <w:rsid w:val="00F00E6A"/>
    <w:rsid w:val="00F0361E"/>
    <w:rsid w:val="00F17242"/>
    <w:rsid w:val="00F46D42"/>
    <w:rsid w:val="00F9613F"/>
    <w:rsid w:val="00FA3A76"/>
    <w:rsid w:val="00FB1E2A"/>
    <w:rsid w:val="00FC7F2C"/>
    <w:rsid w:val="00FE0FC2"/>
    <w:rsid w:val="00FE541F"/>
    <w:rsid w:val="00FF79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D065646-013B-46E9-9973-E394AE8F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618B"/>
    <w:pPr>
      <w:tabs>
        <w:tab w:val="center" w:pos="4536"/>
        <w:tab w:val="right" w:pos="9072"/>
      </w:tabs>
      <w:spacing w:after="0" w:line="240" w:lineRule="auto"/>
    </w:pPr>
  </w:style>
  <w:style w:type="character" w:customStyle="1" w:styleId="En-tteCar">
    <w:name w:val="En-tête Car"/>
    <w:basedOn w:val="Policepardfaut"/>
    <w:link w:val="En-tte"/>
    <w:uiPriority w:val="99"/>
    <w:rsid w:val="00D7618B"/>
    <w:rPr>
      <w:noProof/>
    </w:rPr>
  </w:style>
  <w:style w:type="paragraph" w:styleId="Pieddepage">
    <w:name w:val="footer"/>
    <w:basedOn w:val="Normal"/>
    <w:link w:val="PieddepageCar"/>
    <w:uiPriority w:val="99"/>
    <w:unhideWhenUsed/>
    <w:rsid w:val="00D761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618B"/>
    <w:rPr>
      <w:noProof/>
    </w:rPr>
  </w:style>
  <w:style w:type="paragraph" w:styleId="Textedebulles">
    <w:name w:val="Balloon Text"/>
    <w:basedOn w:val="Normal"/>
    <w:link w:val="TextedebullesCar"/>
    <w:uiPriority w:val="99"/>
    <w:semiHidden/>
    <w:unhideWhenUsed/>
    <w:rsid w:val="00D7618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7618B"/>
    <w:rPr>
      <w:rFonts w:ascii="Times New Roman" w:hAnsi="Times New Roman" w:cs="Times New Roman"/>
      <w:noProof/>
      <w:sz w:val="18"/>
      <w:szCs w:val="18"/>
    </w:rPr>
  </w:style>
  <w:style w:type="table" w:styleId="Grilledutableau">
    <w:name w:val="Table Grid"/>
    <w:basedOn w:val="TableauNormal"/>
    <w:uiPriority w:val="39"/>
    <w:rsid w:val="00D7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7F2C"/>
    <w:pPr>
      <w:ind w:left="720"/>
      <w:contextualSpacing/>
    </w:pPr>
  </w:style>
  <w:style w:type="paragraph" w:customStyle="1" w:styleId="IBFI-Prog-Textecourant">
    <w:name w:val="IBFI - Prog - Texte courant"/>
    <w:basedOn w:val="Normal"/>
    <w:qFormat/>
    <w:rsid w:val="00FC7F2C"/>
    <w:pPr>
      <w:spacing w:after="0" w:line="240" w:lineRule="auto"/>
      <w:ind w:left="283"/>
    </w:pPr>
    <w:rPr>
      <w:rFonts w:ascii="Arial" w:eastAsia="Times New Roman" w:hAnsi="Arial" w:cs="Arial"/>
      <w:iCs/>
      <w:noProof w:val="0"/>
      <w:color w:val="597190"/>
      <w:sz w:val="18"/>
      <w:szCs w:val="18"/>
      <w:lang w:eastAsia="fr-FR"/>
    </w:rPr>
  </w:style>
  <w:style w:type="character" w:customStyle="1" w:styleId="apple-converted-space">
    <w:name w:val="apple-converted-space"/>
    <w:basedOn w:val="Policepardfaut"/>
    <w:rsid w:val="00785ADD"/>
  </w:style>
  <w:style w:type="character" w:styleId="Lienhypertexte">
    <w:name w:val="Hyperlink"/>
    <w:basedOn w:val="Policepardfaut"/>
    <w:uiPriority w:val="99"/>
    <w:semiHidden/>
    <w:unhideWhenUsed/>
    <w:rsid w:val="00214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af.banque-france.fr/teleconference-gcaf-17-mars-2022-14h00-t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caf.banque-france.fr/seminaire-gcaf-30-janvier-1er-fevrier-2024-paris-fra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FR/TXT/HTML/?uri=CELEX:52021PC020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autorite.qc.ca/fileadmin/lautorite/grand_public/publications/professionnels/tous-les-pros/IA_DocumentReflexion_MeilleuresPratiques2024.pdf" TargetMode="External"/><Relationship Id="rId4" Type="http://schemas.openxmlformats.org/officeDocument/2006/relationships/webSettings" Target="webSettings.xml"/><Relationship Id="rId9" Type="http://schemas.openxmlformats.org/officeDocument/2006/relationships/hyperlink" Target="https://www.finma.ch/fr/surveillance/assurances/instruments-multisectoriels/test-suisse-de-solvabilit%C3%A9-(s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5582</TotalTime>
  <Pages>10</Pages>
  <Words>4756</Words>
  <Characters>26159</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TEMPE François (SGACPR DAI)</dc:creator>
  <cp:keywords/>
  <dc:description/>
  <cp:lastModifiedBy>TEMPE François (SGACPR DAI)</cp:lastModifiedBy>
  <cp:revision>40</cp:revision>
  <cp:lastPrinted>2024-04-05T16:19:00Z</cp:lastPrinted>
  <dcterms:created xsi:type="dcterms:W3CDTF">2024-03-06T15:46:00Z</dcterms:created>
  <dcterms:modified xsi:type="dcterms:W3CDTF">2024-04-05T17:14:00Z</dcterms:modified>
</cp:coreProperties>
</file>